
<file path=[Content_Types].xml><?xml version="1.0" encoding="utf-8"?>
<Types xmlns="http://schemas.openxmlformats.org/package/2006/content-types">
  <Default Extension="wmf" ContentType="image/x-wmf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46BE" w:rsidRDefault="0022150F">
      <w:r>
        <w:rPr>
          <w:noProof/>
        </w:rPr>
        <w:drawing>
          <wp:anchor distT="0" distB="0" distL="114300" distR="114300" simplePos="0" relativeHeight="251658752" behindDoc="1" locked="0" layoutInCell="1" allowOverlap="1">
            <wp:simplePos x="0" y="0"/>
            <wp:positionH relativeFrom="margin">
              <wp:posOffset>-1028700</wp:posOffset>
            </wp:positionH>
            <wp:positionV relativeFrom="margin">
              <wp:posOffset>-1115695</wp:posOffset>
            </wp:positionV>
            <wp:extent cx="7886700" cy="10690860"/>
            <wp:effectExtent l="0" t="0" r="0" b="0"/>
            <wp:wrapNone/>
            <wp:docPr id="6" name="WordPictureWatermark1" descr="desky-zpravy_bez_obrazk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WordPictureWatermark1" descr="desky-zpravy_bez_obrazku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86700" cy="106908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46BE" w:rsidRDefault="003946BE"/>
    <w:p w:rsidR="003946BE" w:rsidRDefault="003946BE"/>
    <w:p w:rsidR="003946BE" w:rsidRDefault="003946BE"/>
    <w:p w:rsidR="003946BE" w:rsidRPr="00302CD9" w:rsidRDefault="003946BE">
      <w:pPr>
        <w:rPr>
          <w:sz w:val="12"/>
          <w:szCs w:val="12"/>
        </w:rPr>
      </w:pPr>
    </w:p>
    <w:p w:rsidR="003946BE" w:rsidRDefault="0022150F"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-571500</wp:posOffset>
                </wp:positionH>
                <wp:positionV relativeFrom="paragraph">
                  <wp:posOffset>91440</wp:posOffset>
                </wp:positionV>
                <wp:extent cx="6858000" cy="1062990"/>
                <wp:effectExtent l="0" t="0" r="0" b="0"/>
                <wp:wrapNone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858000" cy="1062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F90" w:rsidRPr="00BF55D4" w:rsidRDefault="008B5F90" w:rsidP="003946B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135FA2"/>
                                <w:sz w:val="30"/>
                                <w:szCs w:val="30"/>
                              </w:rPr>
                            </w:pPr>
                          </w:p>
                          <w:p w:rsidR="008B5F90" w:rsidRPr="00BF55D4" w:rsidRDefault="008B5F90" w:rsidP="003946BE">
                            <w:pPr>
                              <w:rPr>
                                <w:rFonts w:ascii="Arial Narrow" w:hAnsi="Arial Narrow"/>
                                <w:b/>
                                <w:caps/>
                                <w:color w:val="135FA2"/>
                                <w:sz w:val="76"/>
                                <w:szCs w:val="76"/>
                              </w:rPr>
                            </w:pPr>
                            <w:r>
                              <w:rPr>
                                <w:rFonts w:ascii="Arial Narrow" w:hAnsi="Arial Narrow"/>
                                <w:b/>
                                <w:caps/>
                                <w:color w:val="135FA2"/>
                                <w:sz w:val="76"/>
                                <w:szCs w:val="76"/>
                              </w:rPr>
                              <w:t>DATOVÉ CENTRUM čSSZ</w:t>
                            </w:r>
                            <w:r w:rsidRPr="00BF55D4">
                              <w:rPr>
                                <w:rFonts w:ascii="Arial Narrow" w:hAnsi="Arial Narrow"/>
                                <w:b/>
                                <w:caps/>
                                <w:color w:val="135FA2"/>
                                <w:sz w:val="76"/>
                                <w:szCs w:val="76"/>
                              </w:rPr>
                              <w:t xml:space="preserve"> </w:t>
                            </w:r>
                          </w:p>
                          <w:p w:rsidR="008B5F90" w:rsidRPr="006915AE" w:rsidRDefault="008B5F90" w:rsidP="003946BE">
                            <w:pPr>
                              <w:rPr>
                                <w:rFonts w:ascii="Arial Narrow" w:hAnsi="Arial Narrow"/>
                                <w:color w:val="135FA2"/>
                                <w:sz w:val="68"/>
                                <w:szCs w:val="68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-45pt;margin-top:7.2pt;width:540pt;height:83.7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" filled="f" stroked="f">
                <v:textbox inset="2mm,0,0,0">
                  <w:txbxContent>
                    <w:p w:rsidR="008B5F90" w:rsidRPr="00BF55D4" w:rsidRDefault="008B5F90" w:rsidP="003946BE">
                      <w:pPr>
                        <w:rPr>
                          <w:rFonts w:ascii="Arial Narrow" w:hAnsi="Arial Narrow"/>
                          <w:b/>
                          <w:caps/>
                          <w:color w:val="135FA2"/>
                          <w:sz w:val="30"/>
                          <w:szCs w:val="30"/>
                        </w:rPr>
                      </w:pPr>
                    </w:p>
                    <w:p w:rsidR="008B5F90" w:rsidRPr="00BF55D4" w:rsidRDefault="008B5F90" w:rsidP="003946BE">
                      <w:pPr>
                        <w:rPr>
                          <w:rFonts w:ascii="Arial Narrow" w:hAnsi="Arial Narrow"/>
                          <w:b/>
                          <w:caps/>
                          <w:color w:val="135FA2"/>
                          <w:sz w:val="76"/>
                          <w:szCs w:val="76"/>
                        </w:rPr>
                      </w:pPr>
                      <w:r>
                        <w:rPr>
                          <w:rFonts w:ascii="Arial Narrow" w:hAnsi="Arial Narrow"/>
                          <w:b/>
                          <w:caps/>
                          <w:color w:val="135FA2"/>
                          <w:sz w:val="76"/>
                          <w:szCs w:val="76"/>
                        </w:rPr>
                        <w:t>DATOVÉ CENTRUM čSSZ</w:t>
                      </w:r>
                      <w:r w:rsidRPr="00BF55D4">
                        <w:rPr>
                          <w:rFonts w:ascii="Arial Narrow" w:hAnsi="Arial Narrow"/>
                          <w:b/>
                          <w:caps/>
                          <w:color w:val="135FA2"/>
                          <w:sz w:val="76"/>
                          <w:szCs w:val="76"/>
                        </w:rPr>
                        <w:t xml:space="preserve"> </w:t>
                      </w:r>
                    </w:p>
                    <w:p w:rsidR="008B5F90" w:rsidRPr="006915AE" w:rsidRDefault="008B5F90" w:rsidP="003946BE">
                      <w:pPr>
                        <w:rPr>
                          <w:rFonts w:ascii="Arial Narrow" w:hAnsi="Arial Narrow"/>
                          <w:color w:val="135FA2"/>
                          <w:sz w:val="68"/>
                          <w:szCs w:val="6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22150F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-624840</wp:posOffset>
                </wp:positionH>
                <wp:positionV relativeFrom="paragraph">
                  <wp:posOffset>101600</wp:posOffset>
                </wp:positionV>
                <wp:extent cx="6743700" cy="342900"/>
                <wp:effectExtent l="0" t="2540" r="635" b="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74370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8B5F90" w:rsidRPr="00DF02A8" w:rsidRDefault="008B5F90" w:rsidP="003946BE">
                            <w:pPr>
                              <w:rPr>
                                <w:rFonts w:ascii="Arial Narrow" w:hAnsi="Arial Narrow"/>
                                <w:color w:val="135FA2"/>
                                <w:sz w:val="52"/>
                                <w:szCs w:val="52"/>
                              </w:rPr>
                            </w:pPr>
                            <w:r w:rsidRPr="00DF02A8">
                              <w:rPr>
                                <w:rFonts w:ascii="Arial Narrow" w:hAnsi="Arial Narrow"/>
                                <w:color w:val="135FA2"/>
                                <w:sz w:val="52"/>
                                <w:szCs w:val="52"/>
                              </w:rPr>
                              <w:t xml:space="preserve"> </w:t>
                            </w:r>
                            <w:r w:rsidRPr="00DF02A8">
                              <w:rPr>
                                <w:rFonts w:ascii="Arial Narrow" w:hAnsi="Arial Narrow"/>
                                <w:b/>
                                <w:color w:val="135FA2"/>
                                <w:sz w:val="52"/>
                                <w:szCs w:val="52"/>
                              </w:rPr>
                              <w:t>Posouzení hlukové zátěže z výstavby</w:t>
                            </w:r>
                            <w:r w:rsidRPr="00DF02A8">
                              <w:rPr>
                                <w:rFonts w:ascii="Arial Narrow" w:hAnsi="Arial Narrow"/>
                                <w:color w:val="135FA2"/>
                                <w:sz w:val="52"/>
                                <w:szCs w:val="52"/>
                              </w:rPr>
                              <w:t xml:space="preserve">                           </w:t>
                            </w:r>
                          </w:p>
                          <w:p w:rsidR="008B5F90" w:rsidRPr="00DF02A8" w:rsidRDefault="008B5F90" w:rsidP="003946BE">
                            <w:pPr>
                              <w:rPr>
                                <w:sz w:val="52"/>
                                <w:szCs w:val="52"/>
                              </w:rPr>
                            </w:pPr>
                          </w:p>
                        </w:txbxContent>
                      </wps:txbx>
                      <wps:bodyPr rot="0" vert="horz" wrap="square" lIns="72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-49.2pt;margin-top:8pt;width:531pt;height:27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" filled="f" stroked="f">
                <v:textbox inset="2mm,0,0,0">
                  <w:txbxContent>
                    <w:p w:rsidR="008B5F90" w:rsidRPr="00DF02A8" w:rsidRDefault="008B5F90" w:rsidP="003946BE">
                      <w:pPr>
                        <w:rPr>
                          <w:rFonts w:ascii="Arial Narrow" w:hAnsi="Arial Narrow"/>
                          <w:color w:val="135FA2"/>
                          <w:sz w:val="52"/>
                          <w:szCs w:val="52"/>
                        </w:rPr>
                      </w:pPr>
                      <w:r w:rsidRPr="00DF02A8">
                        <w:rPr>
                          <w:rFonts w:ascii="Arial Narrow" w:hAnsi="Arial Narrow"/>
                          <w:color w:val="135FA2"/>
                          <w:sz w:val="52"/>
                          <w:szCs w:val="52"/>
                        </w:rPr>
                        <w:t xml:space="preserve"> </w:t>
                      </w:r>
                      <w:r w:rsidRPr="00DF02A8">
                        <w:rPr>
                          <w:rFonts w:ascii="Arial Narrow" w:hAnsi="Arial Narrow"/>
                          <w:b/>
                          <w:color w:val="135FA2"/>
                          <w:sz w:val="52"/>
                          <w:szCs w:val="52"/>
                        </w:rPr>
                        <w:t>Posouzení hlukové zátěže z výstavby</w:t>
                      </w:r>
                      <w:r w:rsidRPr="00DF02A8">
                        <w:rPr>
                          <w:rFonts w:ascii="Arial Narrow" w:hAnsi="Arial Narrow"/>
                          <w:color w:val="135FA2"/>
                          <w:sz w:val="52"/>
                          <w:szCs w:val="52"/>
                        </w:rPr>
                        <w:t xml:space="preserve">                           </w:t>
                      </w:r>
                    </w:p>
                    <w:p w:rsidR="008B5F90" w:rsidRPr="00DF02A8" w:rsidRDefault="008B5F90" w:rsidP="003946BE">
                      <w:pPr>
                        <w:rPr>
                          <w:sz w:val="52"/>
                          <w:szCs w:val="5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tbl>
      <w:tblPr>
        <w:tblpPr w:leftFromText="141" w:rightFromText="141" w:vertAnchor="page" w:horzAnchor="margin" w:tblpY="2962"/>
        <w:tblW w:w="9394" w:type="dxa"/>
        <w:tblBorders>
          <w:top w:val="dotted" w:sz="4" w:space="0" w:color="000080"/>
          <w:left w:val="dotted" w:sz="4" w:space="0" w:color="000080"/>
          <w:bottom w:val="dotted" w:sz="4" w:space="0" w:color="000080"/>
          <w:right w:val="dotted" w:sz="4" w:space="0" w:color="00008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80"/>
        <w:gridCol w:w="7414"/>
      </w:tblGrid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</w:p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Identifikační a kontaktní údaje       zhotovitele:</w:t>
            </w:r>
          </w:p>
          <w:p w:rsidR="00290574" w:rsidRDefault="00290574" w:rsidP="006915AE">
            <w:pPr>
              <w:jc w:val="center"/>
              <w:rPr>
                <w:i/>
              </w:rPr>
            </w:pP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290574" w:rsidRDefault="00290574" w:rsidP="006915AE">
            <w:pPr>
              <w:tabs>
                <w:tab w:val="left" w:pos="4226"/>
              </w:tabs>
              <w:rPr>
                <w:b/>
                <w:color w:val="000000"/>
              </w:rPr>
            </w:pPr>
          </w:p>
          <w:p w:rsidR="00290574" w:rsidRDefault="00290574" w:rsidP="006915AE">
            <w:pPr>
              <w:tabs>
                <w:tab w:val="left" w:pos="4226"/>
              </w:tabs>
              <w:rPr>
                <w:b/>
                <w:color w:val="000000"/>
              </w:rPr>
            </w:pPr>
            <w:r>
              <w:rPr>
                <w:b/>
                <w:color w:val="000000"/>
              </w:rPr>
              <w:t>DEKONTA a.s.</w:t>
            </w:r>
          </w:p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>kontaktní adresa: Volutová 2523, 158 00 Praha 5</w:t>
            </w:r>
          </w:p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>IČO: 25 00 60 96</w:t>
            </w:r>
          </w:p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>tel.: + 420 235 522 252 - 5,  fax: + 420 235 522 254</w:t>
            </w:r>
          </w:p>
          <w:p w:rsidR="00290574" w:rsidRPr="00D82CD9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  <w:r w:rsidRPr="00D82CD9">
              <w:rPr>
                <w:color w:val="000000"/>
              </w:rPr>
              <w:t xml:space="preserve">e-mail: </w:t>
            </w:r>
            <w:hyperlink r:id="rId8" w:history="1">
              <w:r w:rsidRPr="00D82CD9">
                <w:rPr>
                  <w:rStyle w:val="Hypertextovodkaz"/>
                  <w:rFonts w:ascii="Times New Roman" w:hAnsi="Times New Roman" w:cs="Times New Roman"/>
                  <w:b w:val="0"/>
                  <w:sz w:val="24"/>
                  <w:szCs w:val="24"/>
                </w:rPr>
                <w:t>info@dekonta.cz</w:t>
              </w:r>
            </w:hyperlink>
            <w:r w:rsidRPr="00D82CD9">
              <w:rPr>
                <w:b/>
                <w:color w:val="000000"/>
              </w:rPr>
              <w:t xml:space="preserve"> ,  </w:t>
            </w:r>
            <w:r w:rsidRPr="00D82CD9">
              <w:rPr>
                <w:color w:val="000000"/>
              </w:rPr>
              <w:t>http:</w:t>
            </w:r>
            <w:r w:rsidRPr="00D82CD9">
              <w:rPr>
                <w:b/>
                <w:color w:val="000000"/>
              </w:rPr>
              <w:t>//</w:t>
            </w:r>
            <w:hyperlink r:id="rId9" w:history="1">
              <w:r w:rsidRPr="00D82CD9">
                <w:rPr>
                  <w:rStyle w:val="Hypertextovodkaz"/>
                  <w:rFonts w:ascii="Times New Roman" w:hAnsi="Times New Roman" w:cs="Times New Roman"/>
                  <w:b w:val="0"/>
                  <w:sz w:val="24"/>
                  <w:szCs w:val="24"/>
                </w:rPr>
                <w:t>www.dekonta.c</w:t>
              </w:r>
            </w:hyperlink>
            <w:r w:rsidRPr="00D82CD9">
              <w:rPr>
                <w:color w:val="000000"/>
              </w:rPr>
              <w:t>z</w:t>
            </w:r>
          </w:p>
          <w:p w:rsidR="00290574" w:rsidRDefault="00290574" w:rsidP="006915AE">
            <w:pPr>
              <w:tabs>
                <w:tab w:val="left" w:pos="4226"/>
              </w:tabs>
              <w:rPr>
                <w:b/>
                <w:color w:val="000000"/>
              </w:rPr>
            </w:pPr>
          </w:p>
        </w:tc>
      </w:tr>
      <w:tr w:rsidR="00290574">
        <w:trPr>
          <w:cantSplit/>
          <w:trHeight w:val="92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Objednatel:</w:t>
            </w:r>
          </w:p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-kontaktní osoba: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right w:val="dotted" w:sz="4" w:space="0" w:color="000080"/>
            </w:tcBorders>
          </w:tcPr>
          <w:p w:rsidR="00290574" w:rsidRPr="00D0221A" w:rsidRDefault="00290574" w:rsidP="006915AE">
            <w:pPr>
              <w:tabs>
                <w:tab w:val="left" w:pos="4226"/>
              </w:tabs>
              <w:rPr>
                <w:color w:val="000000"/>
                <w:sz w:val="12"/>
                <w:szCs w:val="12"/>
              </w:rPr>
            </w:pPr>
          </w:p>
          <w:p w:rsidR="00DF02A8" w:rsidRPr="00D0221A" w:rsidRDefault="00DF02A8" w:rsidP="00DF02A8">
            <w:pPr>
              <w:tabs>
                <w:tab w:val="left" w:pos="4226"/>
              </w:tabs>
              <w:rPr>
                <w:color w:val="000000"/>
              </w:rPr>
            </w:pPr>
            <w:r w:rsidRPr="00D0221A">
              <w:rPr>
                <w:color w:val="000000"/>
              </w:rPr>
              <w:t>Jaroslav Kupr</w:t>
            </w:r>
          </w:p>
          <w:p w:rsidR="00D0221A" w:rsidRPr="00D0221A" w:rsidRDefault="00DF02A8" w:rsidP="00D0221A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>INTAR, a.s.</w:t>
            </w:r>
            <w:r w:rsidR="00D0221A" w:rsidRPr="00D0221A">
              <w:rPr>
                <w:color w:val="000000"/>
              </w:rPr>
              <w:t xml:space="preserve"> </w:t>
            </w:r>
          </w:p>
          <w:p w:rsidR="00E162F5" w:rsidRDefault="00DF02A8" w:rsidP="00D0221A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>Bezručova 81</w:t>
            </w:r>
            <w:r w:rsidR="00E162F5" w:rsidRPr="00D0221A">
              <w:rPr>
                <w:color w:val="000000"/>
              </w:rPr>
              <w:t>/</w:t>
            </w:r>
            <w:r>
              <w:rPr>
                <w:color w:val="000000"/>
              </w:rPr>
              <w:t>17a, 602 00 Brno</w:t>
            </w:r>
          </w:p>
          <w:p w:rsidR="00DF02A8" w:rsidRPr="00D0221A" w:rsidRDefault="00DF02A8" w:rsidP="00D0221A">
            <w:pPr>
              <w:tabs>
                <w:tab w:val="left" w:pos="4226"/>
              </w:tabs>
              <w:rPr>
                <w:color w:val="000000"/>
              </w:rPr>
            </w:pPr>
            <w:r>
              <w:t>ateliér Praha, Americká 41, 120 00 Praha 2</w:t>
            </w:r>
          </w:p>
          <w:p w:rsidR="00E162F5" w:rsidRPr="00D0221A" w:rsidRDefault="00E162F5" w:rsidP="00D0221A">
            <w:pPr>
              <w:tabs>
                <w:tab w:val="left" w:pos="4226"/>
              </w:tabs>
              <w:rPr>
                <w:color w:val="000000"/>
              </w:rPr>
            </w:pPr>
            <w:r w:rsidRPr="00D0221A">
              <w:rPr>
                <w:color w:val="000000"/>
              </w:rPr>
              <w:t xml:space="preserve">tel.: + 420 </w:t>
            </w:r>
            <w:r w:rsidR="00DF02A8">
              <w:t>222 251 004</w:t>
            </w:r>
          </w:p>
          <w:p w:rsidR="00290574" w:rsidRDefault="00E162F5" w:rsidP="00E162F5">
            <w:pPr>
              <w:tabs>
                <w:tab w:val="left" w:pos="4226"/>
              </w:tabs>
              <w:rPr>
                <w:color w:val="000000"/>
              </w:rPr>
            </w:pPr>
            <w:r w:rsidRPr="00D0221A">
              <w:rPr>
                <w:color w:val="000000"/>
              </w:rPr>
              <w:t xml:space="preserve">email: </w:t>
            </w:r>
            <w:r w:rsidR="00DF02A8" w:rsidRPr="00DF02A8">
              <w:rPr>
                <w:color w:val="000000"/>
              </w:rPr>
              <w:t>j</w:t>
            </w:r>
            <w:hyperlink r:id="rId10" w:history="1">
              <w:r w:rsidR="00DF02A8" w:rsidRPr="00DF02A8">
                <w:rPr>
                  <w:bCs/>
                </w:rPr>
                <w:t>kupr@intar.cz</w:t>
              </w:r>
            </w:hyperlink>
          </w:p>
          <w:p w:rsidR="00D0221A" w:rsidRPr="00D0221A" w:rsidRDefault="00D0221A" w:rsidP="00E162F5">
            <w:pPr>
              <w:tabs>
                <w:tab w:val="left" w:pos="4226"/>
              </w:tabs>
              <w:rPr>
                <w:color w:val="000000"/>
                <w:sz w:val="12"/>
                <w:szCs w:val="12"/>
              </w:rPr>
            </w:pP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</w:tcPr>
          <w:p w:rsidR="00290574" w:rsidRDefault="00290574" w:rsidP="006915AE">
            <w:pPr>
              <w:jc w:val="center"/>
              <w:rPr>
                <w:i/>
              </w:rPr>
            </w:pPr>
          </w:p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Číslo zakázky: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</w:p>
          <w:p w:rsidR="00290574" w:rsidRPr="007C20FF" w:rsidRDefault="005C507D" w:rsidP="006915AE">
            <w:pPr>
              <w:tabs>
                <w:tab w:val="left" w:pos="4226"/>
              </w:tabs>
              <w:rPr>
                <w:color w:val="000000"/>
              </w:rPr>
            </w:pPr>
            <w:r w:rsidRPr="007C20FF">
              <w:rPr>
                <w:color w:val="000000"/>
              </w:rPr>
              <w:t>14</w:t>
            </w:r>
            <w:r w:rsidR="0022150F">
              <w:rPr>
                <w:color w:val="000000"/>
              </w:rPr>
              <w:t>5</w:t>
            </w:r>
            <w:r w:rsidR="00405459" w:rsidRPr="007C20FF">
              <w:rPr>
                <w:color w:val="000000"/>
              </w:rPr>
              <w:t xml:space="preserve"> 3</w:t>
            </w:r>
            <w:r w:rsidRPr="007C20FF">
              <w:rPr>
                <w:color w:val="000000"/>
              </w:rPr>
              <w:t>31</w:t>
            </w:r>
          </w:p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</w:p>
        </w:tc>
      </w:tr>
      <w:tr w:rsidR="00290574">
        <w:trPr>
          <w:cantSplit/>
          <w:trHeight w:val="399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Zakázka: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  <w:vAlign w:val="center"/>
          </w:tcPr>
          <w:p w:rsidR="00290574" w:rsidRPr="00BB06C6" w:rsidRDefault="0022150F" w:rsidP="002F05EA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>Datové centrum ČSSZ</w:t>
            </w:r>
            <w:r w:rsidR="002F05EA">
              <w:rPr>
                <w:color w:val="000000"/>
              </w:rPr>
              <w:t xml:space="preserve"> - </w:t>
            </w:r>
            <w:r>
              <w:rPr>
                <w:color w:val="000000"/>
              </w:rPr>
              <w:t>P</w:t>
            </w:r>
            <w:r w:rsidR="00BF55D4" w:rsidRPr="00BF55D4">
              <w:rPr>
                <w:color w:val="000000"/>
              </w:rPr>
              <w:t>osouzení hluk</w:t>
            </w:r>
            <w:r w:rsidR="00BF55D4">
              <w:rPr>
                <w:color w:val="000000"/>
              </w:rPr>
              <w:t xml:space="preserve">ové zátěže </w:t>
            </w:r>
            <w:r w:rsidR="00BF55D4" w:rsidRPr="00BF55D4">
              <w:rPr>
                <w:color w:val="000000"/>
              </w:rPr>
              <w:t>z výstavby</w:t>
            </w:r>
            <w:r w:rsidR="00BF55D4" w:rsidRPr="00700A6D">
              <w:rPr>
                <w:rFonts w:ascii="Arial Narrow" w:hAnsi="Arial Narrow"/>
                <w:color w:val="135FA2"/>
                <w:sz w:val="44"/>
                <w:szCs w:val="44"/>
              </w:rPr>
              <w:t xml:space="preserve">           </w:t>
            </w:r>
            <w:r w:rsidR="00BF55D4">
              <w:rPr>
                <w:rFonts w:ascii="Arial Narrow" w:hAnsi="Arial Narrow"/>
                <w:color w:val="135FA2"/>
                <w:sz w:val="44"/>
                <w:szCs w:val="44"/>
              </w:rPr>
              <w:t xml:space="preserve">                </w:t>
            </w:r>
          </w:p>
        </w:tc>
      </w:tr>
      <w:tr w:rsidR="00290574">
        <w:trPr>
          <w:cantSplit/>
          <w:trHeight w:val="532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Typ zprávy: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  <w:vAlign w:val="center"/>
          </w:tcPr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Závěrečná zpráva </w:t>
            </w: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</w:tcPr>
          <w:p w:rsidR="00290574" w:rsidRDefault="00290574" w:rsidP="006915AE">
            <w:pPr>
              <w:jc w:val="center"/>
              <w:rPr>
                <w:i/>
              </w:rPr>
            </w:pP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Zpracoval: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290574" w:rsidRDefault="00290574" w:rsidP="006915AE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Ing. </w:t>
            </w:r>
            <w:smartTag w:uri="urn:schemas-microsoft-com:office:smarttags" w:element="PersonName">
              <w:smartTagPr>
                <w:attr w:name="ProductID" w:val="Aleš Kulhánek"/>
              </w:smartTagPr>
              <w:r>
                <w:rPr>
                  <w:color w:val="000000"/>
                </w:rPr>
                <w:t>Aleš Kulhánek</w:t>
              </w:r>
            </w:smartTag>
            <w:r>
              <w:rPr>
                <w:color w:val="000000"/>
              </w:rPr>
              <w:t>, Ph.D.</w:t>
            </w:r>
          </w:p>
          <w:p w:rsidR="00290574" w:rsidRDefault="00290574" w:rsidP="006915AE">
            <w:pPr>
              <w:tabs>
                <w:tab w:val="left" w:pos="4226"/>
              </w:tabs>
              <w:rPr>
                <w:i/>
                <w:color w:val="000000"/>
              </w:rPr>
            </w:pPr>
            <w:r>
              <w:rPr>
                <w:i/>
                <w:color w:val="000000"/>
              </w:rPr>
              <w:t>samostatný řešitel divize Sanační a ekologické projekty</w:t>
            </w: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290574" w:rsidRDefault="00290574" w:rsidP="006915AE">
            <w:pPr>
              <w:tabs>
                <w:tab w:val="left" w:pos="4226"/>
              </w:tabs>
              <w:rPr>
                <w:b/>
                <w:color w:val="000000"/>
              </w:rPr>
            </w:pP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Schválil: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DF02A8" w:rsidRPr="004E2BC0" w:rsidRDefault="00DF02A8" w:rsidP="00DF02A8">
            <w:pPr>
              <w:tabs>
                <w:tab w:val="left" w:pos="4226"/>
              </w:tabs>
              <w:rPr>
                <w:color w:val="000000"/>
              </w:rPr>
            </w:pPr>
            <w:r w:rsidRPr="004E2BC0">
              <w:rPr>
                <w:color w:val="000000"/>
              </w:rPr>
              <w:t xml:space="preserve">Ing. </w:t>
            </w:r>
            <w:r>
              <w:rPr>
                <w:color w:val="000000"/>
              </w:rPr>
              <w:t>Jan Vaněk</w:t>
            </w:r>
          </w:p>
          <w:p w:rsidR="00290574" w:rsidRDefault="00DF02A8" w:rsidP="00DF02A8">
            <w:pPr>
              <w:tabs>
                <w:tab w:val="left" w:pos="4226"/>
              </w:tabs>
              <w:rPr>
                <w:b/>
                <w:i/>
                <w:color w:val="000000"/>
              </w:rPr>
            </w:pPr>
            <w:r>
              <w:rPr>
                <w:i/>
                <w:color w:val="000000"/>
              </w:rPr>
              <w:t>vedoucí divize Sanační a ekologické projekty</w:t>
            </w: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</w:tcPr>
          <w:p w:rsidR="00290574" w:rsidRDefault="00290574" w:rsidP="006915AE">
            <w:pPr>
              <w:jc w:val="center"/>
              <w:rPr>
                <w:i/>
              </w:rPr>
            </w:pP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290574" w:rsidRDefault="00290574" w:rsidP="006915AE">
            <w:pPr>
              <w:tabs>
                <w:tab w:val="left" w:pos="4226"/>
              </w:tabs>
              <w:rPr>
                <w:b/>
                <w:color w:val="000000"/>
              </w:rPr>
            </w:pP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Datum zpracování: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  <w:vAlign w:val="center"/>
          </w:tcPr>
          <w:p w:rsidR="00290574" w:rsidRPr="00DF02A8" w:rsidRDefault="00290574" w:rsidP="007676AA">
            <w:pPr>
              <w:tabs>
                <w:tab w:val="left" w:pos="4226"/>
              </w:tabs>
              <w:rPr>
                <w:color w:val="FF0000"/>
              </w:rPr>
            </w:pPr>
            <w:r w:rsidRPr="00EA1F51">
              <w:rPr>
                <w:color w:val="000000"/>
              </w:rPr>
              <w:t xml:space="preserve"> </w:t>
            </w:r>
            <w:r w:rsidR="002F05EA">
              <w:rPr>
                <w:color w:val="000000" w:themeColor="text1"/>
              </w:rPr>
              <w:t>30</w:t>
            </w:r>
            <w:r w:rsidRPr="007676AA">
              <w:rPr>
                <w:color w:val="000000" w:themeColor="text1"/>
              </w:rPr>
              <w:t xml:space="preserve">. </w:t>
            </w:r>
            <w:r w:rsidR="00BF55D4" w:rsidRPr="007676AA">
              <w:rPr>
                <w:color w:val="000000" w:themeColor="text1"/>
              </w:rPr>
              <w:t>ledn</w:t>
            </w:r>
            <w:r w:rsidR="007676AA" w:rsidRPr="007676AA">
              <w:rPr>
                <w:color w:val="000000" w:themeColor="text1"/>
              </w:rPr>
              <w:t>a</w:t>
            </w:r>
            <w:r w:rsidR="00BF55D4" w:rsidRPr="007676AA">
              <w:rPr>
                <w:color w:val="000000" w:themeColor="text1"/>
              </w:rPr>
              <w:t xml:space="preserve"> </w:t>
            </w:r>
            <w:r w:rsidRPr="007676AA">
              <w:rPr>
                <w:color w:val="000000" w:themeColor="text1"/>
              </w:rPr>
              <w:t>20</w:t>
            </w:r>
            <w:r w:rsidR="008340C2" w:rsidRPr="007676AA">
              <w:rPr>
                <w:color w:val="000000" w:themeColor="text1"/>
              </w:rPr>
              <w:t>1</w:t>
            </w:r>
            <w:r w:rsidR="00DF02A8" w:rsidRPr="007676AA">
              <w:rPr>
                <w:color w:val="000000" w:themeColor="text1"/>
              </w:rPr>
              <w:t>5</w:t>
            </w:r>
          </w:p>
        </w:tc>
      </w:tr>
      <w:tr w:rsidR="00290574">
        <w:trPr>
          <w:cantSplit/>
          <w:trHeight w:val="300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</w:tcPr>
          <w:p w:rsidR="00290574" w:rsidRDefault="00290574" w:rsidP="006915AE">
            <w:pPr>
              <w:jc w:val="center"/>
              <w:rPr>
                <w:i/>
              </w:rPr>
            </w:pP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</w:tcPr>
          <w:p w:rsidR="00290574" w:rsidRDefault="00290574" w:rsidP="006915AE">
            <w:pPr>
              <w:tabs>
                <w:tab w:val="left" w:pos="4226"/>
              </w:tabs>
              <w:rPr>
                <w:b/>
                <w:color w:val="000000"/>
              </w:rPr>
            </w:pPr>
          </w:p>
        </w:tc>
      </w:tr>
      <w:tr w:rsidR="00290574">
        <w:trPr>
          <w:cantSplit/>
          <w:trHeight w:val="539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Rozdělovník: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  <w:vAlign w:val="center"/>
          </w:tcPr>
          <w:p w:rsidR="00290574" w:rsidRDefault="0022150F" w:rsidP="0022150F">
            <w:pPr>
              <w:tabs>
                <w:tab w:val="left" w:pos="4226"/>
              </w:tabs>
              <w:rPr>
                <w:color w:val="000000"/>
              </w:rPr>
            </w:pPr>
            <w:r>
              <w:rPr>
                <w:color w:val="000000"/>
              </w:rPr>
              <w:t xml:space="preserve"> INTAR, a.s.</w:t>
            </w:r>
            <w:r w:rsidR="004E7298">
              <w:rPr>
                <w:color w:val="000000"/>
              </w:rPr>
              <w:t xml:space="preserve">         </w:t>
            </w:r>
            <w:r w:rsidR="00290574">
              <w:rPr>
                <w:color w:val="000000"/>
              </w:rPr>
              <w:t>DEKONTA, a.s.</w:t>
            </w:r>
            <w:r w:rsidR="001D60F0">
              <w:rPr>
                <w:color w:val="000000"/>
              </w:rPr>
              <w:t xml:space="preserve"> (archiv)</w:t>
            </w:r>
          </w:p>
        </w:tc>
      </w:tr>
      <w:tr w:rsidR="00290574">
        <w:trPr>
          <w:cantSplit/>
          <w:trHeight w:val="392"/>
        </w:trPr>
        <w:tc>
          <w:tcPr>
            <w:tcW w:w="1980" w:type="dxa"/>
            <w:tcBorders>
              <w:top w:val="dotted" w:sz="4" w:space="0" w:color="0000FF"/>
              <w:left w:val="dotted" w:sz="4" w:space="0" w:color="0000FF"/>
              <w:bottom w:val="dotted" w:sz="4" w:space="0" w:color="0000FF"/>
              <w:right w:val="dotted" w:sz="4" w:space="0" w:color="0000FF"/>
            </w:tcBorders>
            <w:shd w:val="clear" w:color="auto" w:fill="99CCFF"/>
            <w:vAlign w:val="center"/>
          </w:tcPr>
          <w:p w:rsidR="00290574" w:rsidRDefault="00290574" w:rsidP="006915AE">
            <w:pPr>
              <w:jc w:val="center"/>
              <w:rPr>
                <w:i/>
              </w:rPr>
            </w:pPr>
            <w:r>
              <w:rPr>
                <w:i/>
              </w:rPr>
              <w:t>Výtisk č.:</w:t>
            </w:r>
          </w:p>
        </w:tc>
        <w:tc>
          <w:tcPr>
            <w:tcW w:w="7414" w:type="dxa"/>
            <w:tcBorders>
              <w:top w:val="dotted" w:sz="4" w:space="0" w:color="000080"/>
              <w:left w:val="dotted" w:sz="4" w:space="0" w:color="0000FF"/>
              <w:bottom w:val="dotted" w:sz="4" w:space="0" w:color="000080"/>
              <w:right w:val="dotted" w:sz="4" w:space="0" w:color="000080"/>
            </w:tcBorders>
            <w:vAlign w:val="center"/>
          </w:tcPr>
          <w:p w:rsidR="00290574" w:rsidRPr="004E7298" w:rsidRDefault="00290574" w:rsidP="0022150F">
            <w:pPr>
              <w:tabs>
                <w:tab w:val="left" w:pos="4226"/>
              </w:tabs>
              <w:rPr>
                <w:b/>
                <w:color w:val="000000"/>
              </w:rPr>
            </w:pPr>
            <w:r w:rsidRPr="004E7298">
              <w:rPr>
                <w:color w:val="000000"/>
              </w:rPr>
              <w:t xml:space="preserve"> </w:t>
            </w:r>
            <w:r w:rsidR="004E7298" w:rsidRPr="004E7298">
              <w:rPr>
                <w:color w:val="000000"/>
              </w:rPr>
              <w:t xml:space="preserve">      1</w:t>
            </w:r>
            <w:r w:rsidR="001D60F0" w:rsidRPr="004E7298">
              <w:rPr>
                <w:color w:val="000000"/>
              </w:rPr>
              <w:t xml:space="preserve">                 </w:t>
            </w:r>
            <w:r w:rsidR="001D1537" w:rsidRPr="004E7298">
              <w:rPr>
                <w:color w:val="000000"/>
              </w:rPr>
              <w:t xml:space="preserve">      </w:t>
            </w:r>
            <w:r w:rsidR="004E7298" w:rsidRPr="004E7298">
              <w:rPr>
                <w:color w:val="000000"/>
              </w:rPr>
              <w:t xml:space="preserve">               2</w:t>
            </w:r>
          </w:p>
        </w:tc>
      </w:tr>
    </w:tbl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3946BE" w:rsidRDefault="003946BE"/>
    <w:p w:rsidR="005E4BFA" w:rsidRDefault="005E4BFA"/>
    <w:p w:rsidR="005E4BFA" w:rsidRDefault="005E4BFA"/>
    <w:p w:rsidR="005E4BFA" w:rsidRDefault="005E4BFA"/>
    <w:p w:rsidR="00804D76" w:rsidRDefault="00804D76" w:rsidP="00290574">
      <w:pPr>
        <w:pStyle w:val="Nadpis4"/>
        <w:rPr>
          <w:caps/>
          <w:sz w:val="36"/>
          <w:szCs w:val="36"/>
        </w:rPr>
      </w:pPr>
    </w:p>
    <w:p w:rsidR="0035563E" w:rsidRDefault="0035563E" w:rsidP="00290574">
      <w:pPr>
        <w:pStyle w:val="Nadpis4"/>
        <w:rPr>
          <w:caps/>
          <w:sz w:val="36"/>
          <w:szCs w:val="36"/>
        </w:rPr>
      </w:pPr>
    </w:p>
    <w:p w:rsidR="00290574" w:rsidRPr="00312155" w:rsidRDefault="00290574" w:rsidP="00290574">
      <w:pPr>
        <w:pStyle w:val="Nadpis4"/>
        <w:rPr>
          <w:caps/>
          <w:sz w:val="36"/>
          <w:szCs w:val="36"/>
        </w:rPr>
      </w:pPr>
      <w:r w:rsidRPr="00312155">
        <w:rPr>
          <w:caps/>
          <w:sz w:val="36"/>
          <w:szCs w:val="36"/>
        </w:rPr>
        <w:t xml:space="preserve">Obsah </w:t>
      </w:r>
    </w:p>
    <w:p w:rsidR="00290574" w:rsidRPr="00791B1B" w:rsidRDefault="00290574" w:rsidP="00290574"/>
    <w:p w:rsidR="00D17FD9" w:rsidRDefault="0029057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r>
        <w:fldChar w:fldCharType="begin"/>
      </w:r>
      <w:r>
        <w:instrText xml:space="preserve"> TOC \o "1-3" \h \z \u </w:instrText>
      </w:r>
      <w:r>
        <w:fldChar w:fldCharType="separate"/>
      </w:r>
      <w:hyperlink w:anchor="_Toc410379003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1. Úvod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_Toc410379003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4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04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2. Podklady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_Toc410379004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4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05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3. Popis projektu a průběhu výstavby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_Toc410379005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4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06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4. Hygienické limity pro hluk ze stavební činnosti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_Toc410379006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6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07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5. Metodika výpočtu hlukového zatížení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_Toc410379007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7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 w:rsidP="00D17FD9">
      <w:pPr>
        <w:pStyle w:val="Obsah2"/>
        <w:tabs>
          <w:tab w:val="clear" w:pos="8504"/>
          <w:tab w:val="right" w:leader="dot" w:pos="935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10379008" w:history="1">
        <w:r w:rsidR="00D17FD9" w:rsidRPr="00BE4C65">
          <w:rPr>
            <w:rStyle w:val="Hypertextovodkaz"/>
            <w:rFonts w:ascii="Times New Roman" w:hAnsi="Times New Roman"/>
            <w:noProof/>
          </w:rPr>
          <w:t>5.1. Omezení modelu a nejistoty výpočtu hlukového zatížení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_Toc410379008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7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09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6 Umístění výpočtových bodů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_Toc410379009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8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10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7. Zdroje hluku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_Toc410379010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9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11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8. Výsledky posouzení hlukové zátěže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_Toc410379011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11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 w:rsidP="00D17FD9">
      <w:pPr>
        <w:pStyle w:val="Obsah2"/>
        <w:tabs>
          <w:tab w:val="clear" w:pos="8504"/>
          <w:tab w:val="right" w:leader="dot" w:pos="9356"/>
        </w:tabs>
        <w:rPr>
          <w:rFonts w:asciiTheme="minorHAnsi" w:eastAsiaTheme="minorEastAsia" w:hAnsiTheme="minorHAnsi" w:cstheme="minorBidi"/>
          <w:smallCaps w:val="0"/>
          <w:noProof/>
          <w:sz w:val="22"/>
          <w:szCs w:val="22"/>
        </w:rPr>
      </w:pPr>
      <w:hyperlink w:anchor="_Toc410379012" w:history="1">
        <w:r w:rsidR="00D17FD9" w:rsidRPr="00BE4C65">
          <w:rPr>
            <w:rStyle w:val="Hypertextovodkaz"/>
            <w:rFonts w:ascii="Times New Roman" w:hAnsi="Times New Roman"/>
            <w:noProof/>
          </w:rPr>
          <w:t>8.1. Návrh protihlukových opatření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_Toc410379012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13</w:t>
        </w:r>
        <w:r w:rsidR="00D17FD9">
          <w:rPr>
            <w:noProof/>
            <w:webHidden/>
          </w:rPr>
          <w:fldChar w:fldCharType="end"/>
        </w:r>
      </w:hyperlink>
    </w:p>
    <w:p w:rsidR="00D17FD9" w:rsidRDefault="00A940D4">
      <w:pPr>
        <w:pStyle w:val="Obsah1"/>
        <w:rPr>
          <w:rFonts w:asciiTheme="minorHAnsi" w:eastAsiaTheme="minorEastAsia" w:hAnsiTheme="minorHAnsi" w:cstheme="minorBidi"/>
          <w:b w:val="0"/>
          <w:caps w:val="0"/>
          <w:noProof/>
          <w:sz w:val="22"/>
          <w:szCs w:val="22"/>
        </w:rPr>
      </w:pPr>
      <w:hyperlink w:anchor="_Toc410379013" w:history="1">
        <w:r w:rsidR="00D17FD9" w:rsidRPr="00BE4C65">
          <w:rPr>
            <w:rStyle w:val="Hypertextovodkaz"/>
            <w:rFonts w:ascii="Times New Roman" w:hAnsi="Times New Roman" w:cs="Times New Roman"/>
            <w:noProof/>
          </w:rPr>
          <w:t>9. Závěr</w:t>
        </w:r>
        <w:r w:rsidR="00D17FD9">
          <w:rPr>
            <w:noProof/>
            <w:webHidden/>
          </w:rPr>
          <w:tab/>
        </w:r>
        <w:r w:rsidR="00D17FD9">
          <w:rPr>
            <w:noProof/>
            <w:webHidden/>
          </w:rPr>
          <w:fldChar w:fldCharType="begin"/>
        </w:r>
        <w:r w:rsidR="00D17FD9">
          <w:rPr>
            <w:noProof/>
            <w:webHidden/>
          </w:rPr>
          <w:instrText xml:space="preserve"> PAGEREF _Toc410379013 \h </w:instrText>
        </w:r>
        <w:r w:rsidR="00D17FD9">
          <w:rPr>
            <w:noProof/>
            <w:webHidden/>
          </w:rPr>
        </w:r>
        <w:r w:rsidR="00D17FD9">
          <w:rPr>
            <w:noProof/>
            <w:webHidden/>
          </w:rPr>
          <w:fldChar w:fldCharType="separate"/>
        </w:r>
        <w:r w:rsidR="002F05EA">
          <w:rPr>
            <w:noProof/>
            <w:webHidden/>
          </w:rPr>
          <w:t>15</w:t>
        </w:r>
        <w:r w:rsidR="00D17FD9">
          <w:rPr>
            <w:noProof/>
            <w:webHidden/>
          </w:rPr>
          <w:fldChar w:fldCharType="end"/>
        </w:r>
      </w:hyperlink>
    </w:p>
    <w:p w:rsidR="00290574" w:rsidRPr="007C088E" w:rsidRDefault="00290574" w:rsidP="00290574">
      <w:pPr>
        <w:tabs>
          <w:tab w:val="right" w:leader="dot" w:pos="9344"/>
        </w:tabs>
      </w:pPr>
      <w:r>
        <w:rPr>
          <w:sz w:val="20"/>
        </w:rPr>
        <w:fldChar w:fldCharType="end"/>
      </w:r>
    </w:p>
    <w:p w:rsidR="00290574" w:rsidRDefault="00290574" w:rsidP="00290574"/>
    <w:p w:rsidR="006C1E69" w:rsidRDefault="006C1E69" w:rsidP="00290574">
      <w:pPr>
        <w:rPr>
          <w:b/>
        </w:rPr>
      </w:pPr>
    </w:p>
    <w:p w:rsidR="006C1E69" w:rsidRDefault="006C1E69" w:rsidP="00290574">
      <w:pPr>
        <w:rPr>
          <w:b/>
        </w:rPr>
      </w:pPr>
    </w:p>
    <w:p w:rsidR="005E4BFA" w:rsidRDefault="005E4BFA"/>
    <w:p w:rsidR="006C1E69" w:rsidRDefault="006C1E69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AB1C90" w:rsidRDefault="00AB1C90"/>
    <w:p w:rsidR="0035563E" w:rsidRDefault="0035563E"/>
    <w:p w:rsidR="0035563E" w:rsidRDefault="0035563E"/>
    <w:p w:rsidR="0035563E" w:rsidRDefault="0035563E"/>
    <w:p w:rsidR="0035563E" w:rsidRDefault="0035563E"/>
    <w:p w:rsidR="0035563E" w:rsidRDefault="0035563E"/>
    <w:p w:rsidR="00290574" w:rsidRPr="00F760EF" w:rsidRDefault="00290574" w:rsidP="00290574">
      <w:pPr>
        <w:pStyle w:val="Nadpis1"/>
        <w:rPr>
          <w:rFonts w:ascii="Times New Roman" w:hAnsi="Times New Roman" w:cs="Times New Roman"/>
        </w:rPr>
      </w:pPr>
      <w:bookmarkStart w:id="0" w:name="_Toc382792988"/>
      <w:bookmarkStart w:id="1" w:name="_Toc395948042"/>
      <w:bookmarkStart w:id="2" w:name="_Toc406987087"/>
      <w:bookmarkStart w:id="3" w:name="_Toc408804453"/>
      <w:bookmarkStart w:id="4" w:name="_Toc408891615"/>
      <w:bookmarkStart w:id="5" w:name="_Toc140642844"/>
      <w:bookmarkStart w:id="6" w:name="_Toc410379003"/>
      <w:r w:rsidRPr="00F760EF">
        <w:rPr>
          <w:rFonts w:ascii="Times New Roman" w:hAnsi="Times New Roman" w:cs="Times New Roman"/>
        </w:rPr>
        <w:t>1. Úvod</w:t>
      </w:r>
      <w:bookmarkEnd w:id="0"/>
      <w:bookmarkEnd w:id="1"/>
      <w:bookmarkEnd w:id="2"/>
      <w:bookmarkEnd w:id="3"/>
      <w:bookmarkEnd w:id="4"/>
      <w:bookmarkEnd w:id="5"/>
      <w:bookmarkEnd w:id="6"/>
    </w:p>
    <w:p w:rsidR="00290574" w:rsidRPr="007B543F" w:rsidRDefault="00290574" w:rsidP="00290574">
      <w:pPr>
        <w:ind w:firstLine="708"/>
        <w:rPr>
          <w:sz w:val="12"/>
          <w:szCs w:val="12"/>
        </w:rPr>
      </w:pPr>
    </w:p>
    <w:p w:rsidR="007A63D5" w:rsidRDefault="009439F8" w:rsidP="00E96C3F">
      <w:pPr>
        <w:jc w:val="both"/>
        <w:rPr>
          <w:rFonts w:cs="Arial"/>
          <w:color w:val="000000"/>
        </w:rPr>
      </w:pPr>
      <w:r>
        <w:t>Předkládané</w:t>
      </w:r>
      <w:r w:rsidR="00290574">
        <w:t xml:space="preserve"> </w:t>
      </w:r>
      <w:r w:rsidR="00017B32">
        <w:t xml:space="preserve">posouzení hlukové zátěže z výstavby </w:t>
      </w:r>
      <w:r w:rsidR="002A08A5">
        <w:t xml:space="preserve">je </w:t>
      </w:r>
      <w:r w:rsidR="00290574">
        <w:t>zpracován</w:t>
      </w:r>
      <w:r w:rsidR="004D278A">
        <w:t>o</w:t>
      </w:r>
      <w:r w:rsidR="00290574">
        <w:t xml:space="preserve"> jako jeden z podkladových materiálů pro </w:t>
      </w:r>
      <w:r w:rsidR="00E96C3F">
        <w:t xml:space="preserve">sloučené územní a </w:t>
      </w:r>
      <w:r w:rsidR="00017B32" w:rsidRPr="00017B32">
        <w:t>stavební řízení</w:t>
      </w:r>
      <w:r w:rsidR="00017B32">
        <w:t xml:space="preserve"> </w:t>
      </w:r>
      <w:r w:rsidR="00E96C3F">
        <w:t xml:space="preserve">pro stavbu </w:t>
      </w:r>
      <w:r w:rsidR="002A08A5" w:rsidRPr="002A08A5">
        <w:rPr>
          <w:rFonts w:cs="Arial"/>
        </w:rPr>
        <w:t>„</w:t>
      </w:r>
      <w:r w:rsidR="00E96C3F">
        <w:rPr>
          <w:rFonts w:cs="Arial"/>
        </w:rPr>
        <w:t xml:space="preserve">Nástavba a stavební úpravy </w:t>
      </w:r>
      <w:r w:rsidR="005329D0">
        <w:rPr>
          <w:rFonts w:cs="Arial"/>
        </w:rPr>
        <w:t xml:space="preserve">datového centra ČSSZ, č.p. 3194, na pozemku č. parc. 745/15, k.ú. Smíchov, ulice Křížová 6a, Praha </w:t>
      </w:r>
      <w:r w:rsidR="003F3578">
        <w:rPr>
          <w:rFonts w:cs="Arial"/>
        </w:rPr>
        <w:t>5</w:t>
      </w:r>
      <w:r w:rsidR="005329D0">
        <w:rPr>
          <w:rFonts w:cs="Arial"/>
        </w:rPr>
        <w:t>“</w:t>
      </w:r>
      <w:r w:rsidR="00E96C3F">
        <w:rPr>
          <w:rFonts w:cs="Arial"/>
        </w:rPr>
        <w:t>.</w:t>
      </w:r>
      <w:r w:rsidR="002A08A5" w:rsidRPr="00134BEC">
        <w:rPr>
          <w:rFonts w:cs="Arial"/>
          <w:color w:val="000000"/>
        </w:rPr>
        <w:t xml:space="preserve"> </w:t>
      </w:r>
    </w:p>
    <w:p w:rsidR="002A08A5" w:rsidRPr="00134BEC" w:rsidRDefault="005329D0" w:rsidP="009539F9">
      <w:pPr>
        <w:spacing w:before="120"/>
        <w:jc w:val="both"/>
        <w:rPr>
          <w:color w:val="000000"/>
          <w:sz w:val="12"/>
          <w:szCs w:val="12"/>
        </w:rPr>
      </w:pPr>
      <w:r w:rsidRPr="009539F9">
        <w:rPr>
          <w:rFonts w:cs="Arial"/>
        </w:rPr>
        <w:t>Ú</w:t>
      </w:r>
      <w:r w:rsidR="007A63D5" w:rsidRPr="009539F9">
        <w:rPr>
          <w:rFonts w:cs="Arial"/>
        </w:rPr>
        <w:t xml:space="preserve">čelem </w:t>
      </w:r>
      <w:r w:rsidRPr="009539F9">
        <w:rPr>
          <w:rFonts w:cs="Arial"/>
        </w:rPr>
        <w:t xml:space="preserve">této studie </w:t>
      </w:r>
      <w:r w:rsidR="007A63D5" w:rsidRPr="009539F9">
        <w:rPr>
          <w:rFonts w:cs="Arial"/>
        </w:rPr>
        <w:t xml:space="preserve">je </w:t>
      </w:r>
      <w:r w:rsidR="009539F9">
        <w:rPr>
          <w:rFonts w:cs="Arial"/>
        </w:rPr>
        <w:t xml:space="preserve">vyhodnotit </w:t>
      </w:r>
      <w:r w:rsidR="009539F9" w:rsidRPr="009539F9">
        <w:rPr>
          <w:rFonts w:cs="Arial"/>
        </w:rPr>
        <w:t>možné ovlivnění stávající obytné</w:t>
      </w:r>
      <w:r w:rsidR="009539F9">
        <w:rPr>
          <w:rFonts w:cs="Arial"/>
        </w:rPr>
        <w:t xml:space="preserve"> </w:t>
      </w:r>
      <w:r w:rsidR="009539F9" w:rsidRPr="009539F9">
        <w:rPr>
          <w:rFonts w:cs="Arial"/>
        </w:rPr>
        <w:t>zástavby hlukem ze stavební činnosti</w:t>
      </w:r>
      <w:r w:rsidR="009539F9">
        <w:rPr>
          <w:rFonts w:cs="Arial"/>
        </w:rPr>
        <w:t xml:space="preserve"> a</w:t>
      </w:r>
      <w:r w:rsidR="009539F9" w:rsidRPr="009539F9">
        <w:rPr>
          <w:rFonts w:cs="Arial"/>
        </w:rPr>
        <w:t xml:space="preserve"> </w:t>
      </w:r>
      <w:r w:rsidR="007A63D5" w:rsidRPr="009539F9">
        <w:rPr>
          <w:rFonts w:cs="Arial"/>
        </w:rPr>
        <w:t>stanovení vhodných opatření a režimu výstavby k dodržení požadavků stanovených</w:t>
      </w:r>
      <w:r w:rsidR="007A63D5">
        <w:rPr>
          <w:rFonts w:cs="Arial"/>
          <w:color w:val="000000"/>
        </w:rPr>
        <w:t xml:space="preserve"> nařízením vlády č.</w:t>
      </w:r>
      <w:r w:rsidR="00962D00">
        <w:rPr>
          <w:rFonts w:cs="Arial"/>
          <w:color w:val="000000"/>
        </w:rPr>
        <w:t xml:space="preserve"> </w:t>
      </w:r>
      <w:r w:rsidR="007A63D5">
        <w:rPr>
          <w:rFonts w:cs="Arial"/>
          <w:color w:val="000000"/>
        </w:rPr>
        <w:t xml:space="preserve">272/2011 Sb. pro hluk ze stavební činnosti. </w:t>
      </w:r>
      <w:r w:rsidR="00290574" w:rsidRPr="00134BEC">
        <w:rPr>
          <w:color w:val="000000"/>
        </w:rPr>
        <w:t xml:space="preserve"> </w:t>
      </w:r>
    </w:p>
    <w:p w:rsidR="002A08A5" w:rsidRPr="00134BEC" w:rsidRDefault="002A08A5" w:rsidP="002A08A5">
      <w:pPr>
        <w:ind w:firstLine="708"/>
        <w:jc w:val="both"/>
        <w:rPr>
          <w:color w:val="000000"/>
          <w:sz w:val="12"/>
          <w:szCs w:val="12"/>
        </w:rPr>
      </w:pPr>
    </w:p>
    <w:p w:rsidR="00290574" w:rsidRPr="00F760EF" w:rsidRDefault="00290574" w:rsidP="00290574">
      <w:pPr>
        <w:pStyle w:val="Nadpis1"/>
        <w:rPr>
          <w:rFonts w:ascii="Times New Roman" w:hAnsi="Times New Roman" w:cs="Times New Roman"/>
        </w:rPr>
      </w:pPr>
      <w:bookmarkStart w:id="7" w:name="_Toc340223430"/>
      <w:bookmarkStart w:id="8" w:name="_Toc340223579"/>
      <w:bookmarkStart w:id="9" w:name="_Toc340223834"/>
      <w:bookmarkStart w:id="10" w:name="_Toc369515956"/>
      <w:bookmarkStart w:id="11" w:name="_Toc369585373"/>
      <w:bookmarkStart w:id="12" w:name="_Toc382792989"/>
      <w:bookmarkStart w:id="13" w:name="_Toc395948043"/>
      <w:bookmarkStart w:id="14" w:name="_Toc406987088"/>
      <w:bookmarkStart w:id="15" w:name="_Toc408804454"/>
      <w:bookmarkStart w:id="16" w:name="_Toc408891616"/>
      <w:bookmarkStart w:id="17" w:name="_Toc140642845"/>
      <w:bookmarkStart w:id="18" w:name="_Toc410379004"/>
      <w:r w:rsidRPr="00F760EF">
        <w:rPr>
          <w:rFonts w:ascii="Times New Roman" w:hAnsi="Times New Roman" w:cs="Times New Roman"/>
        </w:rPr>
        <w:t>2. Podklady</w:t>
      </w:r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</w:p>
    <w:p w:rsidR="00290574" w:rsidRDefault="00290574" w:rsidP="00387CED">
      <w:pPr>
        <w:pStyle w:val="dek"/>
        <w:spacing w:before="240"/>
        <w:rPr>
          <w:szCs w:val="24"/>
        </w:rPr>
      </w:pPr>
      <w:r>
        <w:rPr>
          <w:szCs w:val="24"/>
        </w:rPr>
        <w:t>Pro zpracování hlukové studie byly k dispozici následující podkladové materiály:</w:t>
      </w:r>
    </w:p>
    <w:p w:rsidR="00290574" w:rsidRPr="00305583" w:rsidRDefault="00290574" w:rsidP="00290574">
      <w:pPr>
        <w:pStyle w:val="dek"/>
        <w:rPr>
          <w:sz w:val="6"/>
          <w:szCs w:val="6"/>
        </w:rPr>
      </w:pPr>
    </w:p>
    <w:p w:rsidR="007676AA" w:rsidRPr="008E0F4F" w:rsidRDefault="00794B54" w:rsidP="007676AA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rFonts w:ascii="Calibri" w:hAnsi="Calibri" w:cs="Calibri"/>
          <w:color w:val="000000" w:themeColor="text1"/>
          <w:sz w:val="18"/>
          <w:szCs w:val="18"/>
        </w:rPr>
      </w:pPr>
      <w:r w:rsidRPr="008E0F4F">
        <w:rPr>
          <w:color w:val="000000" w:themeColor="text1"/>
          <w:szCs w:val="24"/>
        </w:rPr>
        <w:t>Souhrnná technická zpráva „</w:t>
      </w:r>
      <w:r w:rsidR="007676AA" w:rsidRPr="008E0F4F">
        <w:rPr>
          <w:color w:val="000000" w:themeColor="text1"/>
          <w:szCs w:val="24"/>
        </w:rPr>
        <w:t>ČSSZ - datové centrum ČSSZ“( Fabionn, s.r.o., 09/2014)</w:t>
      </w:r>
    </w:p>
    <w:p w:rsidR="007676AA" w:rsidRPr="008E0F4F" w:rsidRDefault="007676AA" w:rsidP="007676AA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color w:val="000000" w:themeColor="text1"/>
        </w:rPr>
      </w:pPr>
      <w:r w:rsidRPr="008E0F4F">
        <w:rPr>
          <w:rFonts w:eastAsia="Arial Unicode MS"/>
          <w:color w:val="000000" w:themeColor="text1"/>
          <w:szCs w:val="24"/>
        </w:rPr>
        <w:t>Návrh Plánu organizace výstavby (Intar, 01/2015)</w:t>
      </w:r>
    </w:p>
    <w:p w:rsidR="008E0F4F" w:rsidRPr="008E0F4F" w:rsidRDefault="008E0F4F" w:rsidP="008E0F4F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color w:val="000000" w:themeColor="text1"/>
          <w:szCs w:val="24"/>
        </w:rPr>
      </w:pPr>
      <w:r w:rsidRPr="008E0F4F">
        <w:rPr>
          <w:color w:val="000000" w:themeColor="text1"/>
          <w:szCs w:val="24"/>
        </w:rPr>
        <w:t>Další technické a mapové podklady od zadavatele</w:t>
      </w:r>
    </w:p>
    <w:p w:rsidR="00290574" w:rsidRPr="008E0F4F" w:rsidRDefault="00290574" w:rsidP="00387CED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color w:val="000000" w:themeColor="text1"/>
          <w:szCs w:val="24"/>
        </w:rPr>
      </w:pPr>
      <w:r w:rsidRPr="008E0F4F">
        <w:rPr>
          <w:color w:val="000000" w:themeColor="text1"/>
          <w:szCs w:val="24"/>
        </w:rPr>
        <w:t>Nařízení vlády č.</w:t>
      </w:r>
      <w:r w:rsidR="00263777" w:rsidRPr="008E0F4F">
        <w:rPr>
          <w:color w:val="000000" w:themeColor="text1"/>
          <w:szCs w:val="24"/>
        </w:rPr>
        <w:t xml:space="preserve"> </w:t>
      </w:r>
      <w:r w:rsidR="00CA39D2" w:rsidRPr="008E0F4F">
        <w:rPr>
          <w:color w:val="000000" w:themeColor="text1"/>
          <w:szCs w:val="24"/>
        </w:rPr>
        <w:t>272</w:t>
      </w:r>
      <w:r w:rsidRPr="008E0F4F">
        <w:rPr>
          <w:color w:val="000000" w:themeColor="text1"/>
          <w:szCs w:val="24"/>
        </w:rPr>
        <w:t>/20</w:t>
      </w:r>
      <w:r w:rsidR="00CA39D2" w:rsidRPr="008E0F4F">
        <w:rPr>
          <w:color w:val="000000" w:themeColor="text1"/>
          <w:szCs w:val="24"/>
        </w:rPr>
        <w:t>11</w:t>
      </w:r>
      <w:r w:rsidRPr="008E0F4F">
        <w:rPr>
          <w:color w:val="000000" w:themeColor="text1"/>
          <w:szCs w:val="24"/>
        </w:rPr>
        <w:t xml:space="preserve"> Sb., o ochraně zdraví před nepříznivými účinky hluku a vibrací </w:t>
      </w:r>
    </w:p>
    <w:p w:rsidR="008E0F4F" w:rsidRPr="008E0F4F" w:rsidRDefault="004B1184" w:rsidP="008E0F4F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color w:val="000000" w:themeColor="text1"/>
          <w:szCs w:val="24"/>
        </w:rPr>
      </w:pPr>
      <w:r w:rsidRPr="008E0F4F">
        <w:rPr>
          <w:color w:val="000000" w:themeColor="text1"/>
        </w:rPr>
        <w:t xml:space="preserve">Nařízení vlády č. 9/2002 Sb., </w:t>
      </w:r>
      <w:r w:rsidR="008E0F4F" w:rsidRPr="008E0F4F">
        <w:rPr>
          <w:color w:val="000000" w:themeColor="text1"/>
        </w:rPr>
        <w:t>kterým se stanoví technické požadavky na výrobky z hlediska emisí hluku</w:t>
      </w:r>
    </w:p>
    <w:p w:rsidR="008E0F4F" w:rsidRPr="008E0F4F" w:rsidRDefault="008E0F4F" w:rsidP="008E0F4F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szCs w:val="24"/>
        </w:rPr>
      </w:pPr>
      <w:r>
        <w:t xml:space="preserve">Metodický </w:t>
      </w:r>
      <w:r w:rsidRPr="00096B1D">
        <w:t>návod pro hodnocení hluku v chráněném venkovním prostoru staveb č.j.</w:t>
      </w:r>
      <w:r>
        <w:t xml:space="preserve"> </w:t>
      </w:r>
      <w:r w:rsidRPr="00096B1D">
        <w:t>62545/2010-OVZ-32.3-1-11.2010</w:t>
      </w:r>
      <w:r>
        <w:t>.</w:t>
      </w:r>
      <w:r w:rsidRPr="00096B1D">
        <w:t xml:space="preserve"> M</w:t>
      </w:r>
      <w:r>
        <w:t xml:space="preserve">inisterstvo zdravotnictví, </w:t>
      </w:r>
      <w:r w:rsidRPr="00096B1D">
        <w:t>1. 11. 2010</w:t>
      </w:r>
    </w:p>
    <w:p w:rsidR="000A35B2" w:rsidRDefault="000A35B2" w:rsidP="000A35B2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szCs w:val="24"/>
        </w:rPr>
      </w:pPr>
      <w:r w:rsidRPr="00973F17">
        <w:rPr>
          <w:szCs w:val="24"/>
        </w:rPr>
        <w:t xml:space="preserve">Výpočetní program HLUK+, verze </w:t>
      </w:r>
      <w:r>
        <w:rPr>
          <w:szCs w:val="24"/>
        </w:rPr>
        <w:t>9</w:t>
      </w:r>
      <w:r w:rsidRPr="00973F17">
        <w:rPr>
          <w:szCs w:val="24"/>
        </w:rPr>
        <w:t>.</w:t>
      </w:r>
      <w:r>
        <w:rPr>
          <w:szCs w:val="24"/>
        </w:rPr>
        <w:t>19 profi</w:t>
      </w:r>
      <w:r w:rsidRPr="00973F17">
        <w:rPr>
          <w:szCs w:val="24"/>
        </w:rPr>
        <w:t>, pro hodnocení šíření hluku z komunikací autorů RNDr. Miloše Liberka a Mgr. Jaroslava Poláška</w:t>
      </w:r>
    </w:p>
    <w:p w:rsidR="00290574" w:rsidRPr="0056756B" w:rsidRDefault="00290574" w:rsidP="000A35B2">
      <w:pPr>
        <w:pStyle w:val="Znaka1"/>
        <w:numPr>
          <w:ilvl w:val="0"/>
          <w:numId w:val="2"/>
        </w:numPr>
        <w:spacing w:before="80" w:after="40"/>
        <w:ind w:left="720" w:right="284" w:hanging="360"/>
        <w:rPr>
          <w:szCs w:val="24"/>
        </w:rPr>
      </w:pPr>
      <w:r w:rsidRPr="0056756B">
        <w:rPr>
          <w:szCs w:val="24"/>
        </w:rPr>
        <w:t>Osobní průzkum lokality</w:t>
      </w:r>
    </w:p>
    <w:p w:rsidR="00C67CEF" w:rsidRDefault="00C67CEF" w:rsidP="00290574">
      <w:pPr>
        <w:pStyle w:val="Znaka1"/>
        <w:numPr>
          <w:ilvl w:val="0"/>
          <w:numId w:val="0"/>
        </w:numPr>
        <w:spacing w:before="40" w:after="40"/>
        <w:ind w:left="340" w:right="284" w:hanging="340"/>
        <w:rPr>
          <w:sz w:val="10"/>
          <w:szCs w:val="10"/>
        </w:rPr>
      </w:pPr>
    </w:p>
    <w:p w:rsidR="00AB1C90" w:rsidRDefault="00AB1C90" w:rsidP="00290574">
      <w:pPr>
        <w:pStyle w:val="Znaka1"/>
        <w:numPr>
          <w:ilvl w:val="0"/>
          <w:numId w:val="0"/>
        </w:numPr>
        <w:spacing w:before="40" w:after="40"/>
        <w:ind w:left="340" w:right="284" w:hanging="340"/>
        <w:rPr>
          <w:sz w:val="10"/>
          <w:szCs w:val="10"/>
        </w:rPr>
      </w:pPr>
    </w:p>
    <w:p w:rsidR="00290574" w:rsidRPr="00F760EF" w:rsidRDefault="00290574" w:rsidP="002355D0">
      <w:pPr>
        <w:pStyle w:val="Nadpis1"/>
        <w:spacing w:before="120"/>
        <w:rPr>
          <w:rFonts w:ascii="Times New Roman" w:hAnsi="Times New Roman" w:cs="Times New Roman"/>
          <w:color w:val="000000"/>
        </w:rPr>
      </w:pPr>
      <w:bookmarkStart w:id="19" w:name="_Toc140642846"/>
      <w:bookmarkStart w:id="20" w:name="_Toc410379005"/>
      <w:bookmarkStart w:id="21" w:name="_Toc340223431"/>
      <w:bookmarkStart w:id="22" w:name="_Toc340223580"/>
      <w:bookmarkStart w:id="23" w:name="_Toc340223835"/>
      <w:bookmarkStart w:id="24" w:name="_Toc369515957"/>
      <w:bookmarkStart w:id="25" w:name="_Toc369585374"/>
      <w:bookmarkStart w:id="26" w:name="_Toc382792990"/>
      <w:bookmarkStart w:id="27" w:name="_Toc395948044"/>
      <w:bookmarkStart w:id="28" w:name="_Toc406987089"/>
      <w:bookmarkStart w:id="29" w:name="_Toc408804455"/>
      <w:bookmarkStart w:id="30" w:name="_Toc408891617"/>
      <w:r w:rsidRPr="00F760EF">
        <w:rPr>
          <w:rFonts w:ascii="Times New Roman" w:hAnsi="Times New Roman" w:cs="Times New Roman"/>
          <w:color w:val="000000"/>
        </w:rPr>
        <w:t xml:space="preserve">3. Popis </w:t>
      </w:r>
      <w:bookmarkEnd w:id="19"/>
      <w:r w:rsidR="004A09D6">
        <w:rPr>
          <w:rFonts w:ascii="Times New Roman" w:hAnsi="Times New Roman" w:cs="Times New Roman"/>
          <w:color w:val="000000"/>
        </w:rPr>
        <w:t>projektu a průběhu výstavby</w:t>
      </w:r>
      <w:bookmarkEnd w:id="20"/>
      <w:r w:rsidR="00BC30CE">
        <w:rPr>
          <w:rFonts w:ascii="Times New Roman" w:hAnsi="Times New Roman" w:cs="Times New Roman"/>
          <w:color w:val="000000"/>
        </w:rPr>
        <w:t xml:space="preserve"> </w:t>
      </w:r>
      <w:bookmarkEnd w:id="2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</w:p>
    <w:p w:rsidR="00C8184D" w:rsidRPr="00C05227" w:rsidRDefault="00C8184D" w:rsidP="00C67CEF">
      <w:pPr>
        <w:spacing w:before="120"/>
        <w:ind w:firstLine="709"/>
        <w:jc w:val="both"/>
        <w:rPr>
          <w:sz w:val="6"/>
          <w:szCs w:val="6"/>
        </w:rPr>
      </w:pPr>
    </w:p>
    <w:p w:rsidR="00263777" w:rsidRPr="00C33E20" w:rsidRDefault="00263777" w:rsidP="00283CE0">
      <w:pPr>
        <w:autoSpaceDE w:val="0"/>
        <w:autoSpaceDN w:val="0"/>
        <w:adjustRightInd w:val="0"/>
        <w:spacing w:before="120"/>
        <w:jc w:val="both"/>
      </w:pPr>
      <w:r w:rsidRPr="00C33E20">
        <w:t xml:space="preserve">Předmětem investiční akce je celková rekonstrukce </w:t>
      </w:r>
      <w:r w:rsidR="00C33E20" w:rsidRPr="00C33E20">
        <w:t xml:space="preserve">interiéru </w:t>
      </w:r>
      <w:r w:rsidRPr="00C33E20">
        <w:t>a nástavba budovy České</w:t>
      </w:r>
      <w:r w:rsidR="00C33E20">
        <w:t xml:space="preserve"> </w:t>
      </w:r>
      <w:r w:rsidRPr="00C33E20">
        <w:t>správy sociálního zabezpečení (ČSSZ), Praha 5, Křížová 3194/6a za účelem vybudování datového centra ČSSZ s perspektivní možností zřízení datového centra resortu MPSV.</w:t>
      </w:r>
    </w:p>
    <w:p w:rsidR="00C33E20" w:rsidRDefault="00CB5459" w:rsidP="00962D00">
      <w:pPr>
        <w:spacing w:before="120"/>
        <w:jc w:val="both"/>
      </w:pPr>
      <w:r w:rsidRPr="00C33E20">
        <w:t xml:space="preserve">Stávající </w:t>
      </w:r>
      <w:r w:rsidR="00C33E20" w:rsidRPr="00C33E20">
        <w:t>pěti-</w:t>
      </w:r>
      <w:r w:rsidRPr="00C33E20">
        <w:t>podlaž</w:t>
      </w:r>
      <w:r w:rsidR="005C2478" w:rsidRPr="00C33E20">
        <w:t>ní</w:t>
      </w:r>
      <w:r w:rsidRPr="00C33E20">
        <w:t xml:space="preserve"> </w:t>
      </w:r>
      <w:r w:rsidR="005C2478" w:rsidRPr="00C33E20">
        <w:t>b</w:t>
      </w:r>
      <w:r w:rsidR="00263777" w:rsidRPr="00C33E20">
        <w:t xml:space="preserve">udova ČSSZ je </w:t>
      </w:r>
      <w:r w:rsidR="00263777" w:rsidRPr="00C33E20">
        <w:rPr>
          <w:color w:val="000000" w:themeColor="text1"/>
        </w:rPr>
        <w:t xml:space="preserve">situována </w:t>
      </w:r>
      <w:r w:rsidRPr="00C33E20">
        <w:rPr>
          <w:color w:val="000000" w:themeColor="text1"/>
        </w:rPr>
        <w:t>býval</w:t>
      </w:r>
      <w:r w:rsidR="00C33E20" w:rsidRPr="00C33E20">
        <w:rPr>
          <w:color w:val="000000" w:themeColor="text1"/>
        </w:rPr>
        <w:t xml:space="preserve">ém areálu </w:t>
      </w:r>
      <w:r w:rsidRPr="00C33E20">
        <w:rPr>
          <w:color w:val="000000" w:themeColor="text1"/>
        </w:rPr>
        <w:t>Škod</w:t>
      </w:r>
      <w:r w:rsidR="00C33E20" w:rsidRPr="00C33E20">
        <w:rPr>
          <w:color w:val="000000" w:themeColor="text1"/>
        </w:rPr>
        <w:t>a – naftové motory</w:t>
      </w:r>
      <w:r w:rsidR="00263777" w:rsidRPr="00C33E20">
        <w:rPr>
          <w:color w:val="000000" w:themeColor="text1"/>
        </w:rPr>
        <w:t xml:space="preserve"> </w:t>
      </w:r>
      <w:r w:rsidR="00263777" w:rsidRPr="00C33E20">
        <w:t>těsně u paty vysoké opěrné zdi, při úpatí strmého svahu.</w:t>
      </w:r>
      <w:r w:rsidR="00665675" w:rsidRPr="00C33E20">
        <w:t xml:space="preserve"> </w:t>
      </w:r>
      <w:r w:rsidR="003349BC">
        <w:t xml:space="preserve">Na vrcholu opěrné zdi je v trase Křížová 6a – Křížová 4 situována 1,8 m vysoká ochranná zeď. </w:t>
      </w:r>
      <w:r w:rsidR="00665675" w:rsidRPr="00C33E20">
        <w:t xml:space="preserve">Tři nadzemní patra budovy jsou situována pod úroveň ulice Křížové a dvě patra nad úroveň ulice. </w:t>
      </w:r>
      <w:r w:rsidR="00571507" w:rsidRPr="00C33E20">
        <w:t>Objekt je zastřešen sedlovou střechou s</w:t>
      </w:r>
      <w:r w:rsidR="00C33E20" w:rsidRPr="00C33E20">
        <w:t xml:space="preserve"> mírným</w:t>
      </w:r>
      <w:r w:rsidR="00571507" w:rsidRPr="00C33E20">
        <w:t xml:space="preserve"> spádem k obvodovým stěnám. Konstrukci střechy tvoří rovněž železobetonová trámová deska. Obvodový plášť budovy je tvořen cihelným zdivem s převahou dutých cihel uloženým přímo na železobetonové stropní desky příslušných podlaží.  </w:t>
      </w:r>
    </w:p>
    <w:p w:rsidR="000A4737" w:rsidRDefault="00C33E20" w:rsidP="00283CE0">
      <w:pPr>
        <w:pStyle w:val="Textpsmene"/>
        <w:numPr>
          <w:ilvl w:val="0"/>
          <w:numId w:val="0"/>
        </w:numPr>
        <w:spacing w:before="120"/>
        <w:rPr>
          <w:color w:val="000000" w:themeColor="text1"/>
        </w:rPr>
      </w:pPr>
      <w:r>
        <w:rPr>
          <w:szCs w:val="24"/>
        </w:rPr>
        <w:t xml:space="preserve">Nejbližší obytné domy </w:t>
      </w:r>
      <w:r w:rsidR="00D547F5">
        <w:rPr>
          <w:szCs w:val="24"/>
        </w:rPr>
        <w:t xml:space="preserve">(č.o. 13, 15, 19 a 21) </w:t>
      </w:r>
      <w:r>
        <w:rPr>
          <w:szCs w:val="24"/>
        </w:rPr>
        <w:t>jsou situovány podél ulice Křížová</w:t>
      </w:r>
      <w:r w:rsidR="00D547F5">
        <w:rPr>
          <w:szCs w:val="24"/>
        </w:rPr>
        <w:t>. Další, vzdálenější stavby jsou situovány</w:t>
      </w:r>
      <w:r>
        <w:rPr>
          <w:szCs w:val="24"/>
        </w:rPr>
        <w:t xml:space="preserve"> ve svahu </w:t>
      </w:r>
      <w:r w:rsidR="00D547F5">
        <w:rPr>
          <w:szCs w:val="24"/>
        </w:rPr>
        <w:t xml:space="preserve">nad místem </w:t>
      </w:r>
      <w:r>
        <w:rPr>
          <w:szCs w:val="24"/>
        </w:rPr>
        <w:t xml:space="preserve">stavby mezi ulicemi Křížová a Na Konvářce. </w:t>
      </w:r>
      <w:r w:rsidR="00D547F5">
        <w:rPr>
          <w:szCs w:val="24"/>
        </w:rPr>
        <w:t>P</w:t>
      </w:r>
      <w:r>
        <w:rPr>
          <w:szCs w:val="24"/>
        </w:rPr>
        <w:t xml:space="preserve">ůvodní areál </w:t>
      </w:r>
      <w:r w:rsidRPr="00C33E20">
        <w:rPr>
          <w:color w:val="000000" w:themeColor="text1"/>
        </w:rPr>
        <w:t>Škoda – naftové motory</w:t>
      </w:r>
      <w:r>
        <w:rPr>
          <w:color w:val="000000" w:themeColor="text1"/>
        </w:rPr>
        <w:t xml:space="preserve"> dnes </w:t>
      </w:r>
      <w:r w:rsidR="00D547F5">
        <w:rPr>
          <w:color w:val="000000" w:themeColor="text1"/>
        </w:rPr>
        <w:t xml:space="preserve">složí </w:t>
      </w:r>
      <w:r>
        <w:rPr>
          <w:color w:val="000000" w:themeColor="text1"/>
        </w:rPr>
        <w:t xml:space="preserve">zejména </w:t>
      </w:r>
      <w:r w:rsidR="00D547F5">
        <w:rPr>
          <w:color w:val="000000" w:themeColor="text1"/>
        </w:rPr>
        <w:t xml:space="preserve">ke </w:t>
      </w:r>
      <w:r w:rsidR="00962D00">
        <w:rPr>
          <w:color w:val="000000" w:themeColor="text1"/>
        </w:rPr>
        <w:t>skladování</w:t>
      </w:r>
      <w:r w:rsidR="00D547F5">
        <w:rPr>
          <w:color w:val="000000" w:themeColor="text1"/>
        </w:rPr>
        <w:t>.</w:t>
      </w:r>
      <w:r>
        <w:rPr>
          <w:color w:val="000000" w:themeColor="text1"/>
        </w:rPr>
        <w:t xml:space="preserve"> </w:t>
      </w:r>
    </w:p>
    <w:p w:rsidR="000A4737" w:rsidRDefault="000A4737" w:rsidP="00283CE0">
      <w:pPr>
        <w:pStyle w:val="Textpsmene"/>
        <w:numPr>
          <w:ilvl w:val="0"/>
          <w:numId w:val="0"/>
        </w:numPr>
        <w:spacing w:before="120"/>
        <w:rPr>
          <w:color w:val="000000" w:themeColor="text1"/>
        </w:rPr>
      </w:pPr>
    </w:p>
    <w:p w:rsidR="000A4737" w:rsidRDefault="003B2047" w:rsidP="00283CE0">
      <w:pPr>
        <w:pStyle w:val="Textpsmene"/>
        <w:numPr>
          <w:ilvl w:val="0"/>
          <w:numId w:val="0"/>
        </w:numPr>
        <w:spacing w:before="120"/>
        <w:rPr>
          <w:szCs w:val="24"/>
        </w:rPr>
      </w:pPr>
      <w:r>
        <w:rPr>
          <w:szCs w:val="24"/>
        </w:rPr>
        <w:t xml:space="preserve">Po dobu rekonstrukce bude předmětný objekt vyklizen a nebude </w:t>
      </w:r>
      <w:r w:rsidR="00463175">
        <w:rPr>
          <w:szCs w:val="24"/>
        </w:rPr>
        <w:t>v provozu</w:t>
      </w:r>
      <w:r>
        <w:rPr>
          <w:szCs w:val="24"/>
        </w:rPr>
        <w:t xml:space="preserve">. </w:t>
      </w:r>
    </w:p>
    <w:p w:rsidR="000A4737" w:rsidRDefault="000A4737" w:rsidP="000A4737">
      <w:pPr>
        <w:pStyle w:val="Textpsmene"/>
        <w:numPr>
          <w:ilvl w:val="0"/>
          <w:numId w:val="0"/>
        </w:numPr>
        <w:spacing w:before="120"/>
        <w:rPr>
          <w:szCs w:val="24"/>
        </w:rPr>
      </w:pPr>
      <w:r>
        <w:t>Mapa širšího okolí dotčené lokality je prezentována v přílohové části studie (obrázek č. 1).</w:t>
      </w:r>
    </w:p>
    <w:p w:rsidR="00571507" w:rsidRPr="002E36FA" w:rsidRDefault="00571507" w:rsidP="00283CE0">
      <w:pPr>
        <w:spacing w:before="240"/>
        <w:rPr>
          <w:b/>
        </w:rPr>
      </w:pPr>
      <w:r w:rsidRPr="002E36FA">
        <w:rPr>
          <w:b/>
        </w:rPr>
        <w:t>Navrhované úpravy</w:t>
      </w:r>
      <w:r w:rsidR="00455FD5">
        <w:rPr>
          <w:b/>
        </w:rPr>
        <w:t>:</w:t>
      </w:r>
    </w:p>
    <w:p w:rsidR="00C33E20" w:rsidRDefault="00C33E20" w:rsidP="00283CE0">
      <w:pPr>
        <w:spacing w:before="120"/>
      </w:pPr>
      <w:r>
        <w:t xml:space="preserve">Předpokládaný termín rekonstrukce je od </w:t>
      </w:r>
      <w:r w:rsidRPr="000B312A">
        <w:t xml:space="preserve">9/2015 </w:t>
      </w:r>
      <w:r>
        <w:t>do</w:t>
      </w:r>
      <w:r w:rsidRPr="000B312A">
        <w:t xml:space="preserve"> 3/2016</w:t>
      </w:r>
      <w:r>
        <w:t>, tzn. 7 měsíců.</w:t>
      </w:r>
    </w:p>
    <w:p w:rsidR="00C33E20" w:rsidRDefault="00C33E20" w:rsidP="00283CE0">
      <w:pPr>
        <w:spacing w:before="240"/>
      </w:pPr>
      <w:r>
        <w:t>Plánované stavební práce je možno rozdělit do několika etap:</w:t>
      </w:r>
    </w:p>
    <w:p w:rsidR="00E73F2A" w:rsidRDefault="00571507" w:rsidP="00283CE0">
      <w:pPr>
        <w:spacing w:before="120"/>
        <w:jc w:val="both"/>
      </w:pPr>
      <w:r>
        <w:t xml:space="preserve">Ve stávajících podlažích 1.NP – 5.NP proběhnou úpravy dispozic dle nového způsobu využití objektu. Dojde tedy k </w:t>
      </w:r>
      <w:r w:rsidRPr="00E73F2A">
        <w:t xml:space="preserve">demolici </w:t>
      </w:r>
      <w:r w:rsidR="00941569">
        <w:t xml:space="preserve">části </w:t>
      </w:r>
      <w:r w:rsidR="00E73F2A">
        <w:t xml:space="preserve">vnitřních </w:t>
      </w:r>
      <w:r w:rsidRPr="00E73F2A">
        <w:t>příček</w:t>
      </w:r>
      <w:r>
        <w:t xml:space="preserve"> a </w:t>
      </w:r>
      <w:r w:rsidR="00941569">
        <w:t xml:space="preserve">podlahy v suterénu. </w:t>
      </w:r>
      <w:r w:rsidR="00F663B3">
        <w:t>Předpokládaná délka této fáze je jeden měsíc.</w:t>
      </w:r>
    </w:p>
    <w:p w:rsidR="00F663B3" w:rsidRDefault="00E73F2A" w:rsidP="00283CE0">
      <w:pPr>
        <w:spacing w:before="120"/>
        <w:jc w:val="both"/>
      </w:pPr>
      <w:r>
        <w:t xml:space="preserve">Dojde </w:t>
      </w:r>
      <w:r w:rsidR="00F663B3">
        <w:t xml:space="preserve">též </w:t>
      </w:r>
      <w:r w:rsidRPr="00E73F2A">
        <w:t xml:space="preserve">k částečné demolici stávající střechy a </w:t>
      </w:r>
      <w:r w:rsidR="00CD4B91">
        <w:t xml:space="preserve">nosné </w:t>
      </w:r>
      <w:r w:rsidRPr="00E73F2A">
        <w:t xml:space="preserve">stropní konstrukce </w:t>
      </w:r>
      <w:r>
        <w:t xml:space="preserve">v jižní části objektu </w:t>
      </w:r>
      <w:r w:rsidRPr="00E73F2A">
        <w:t>(</w:t>
      </w:r>
      <w:r>
        <w:t>tzn. 12,7 x 8,4 m). Tato demolovaná stropní konstrukce a střecha bude nahrazena novou stropní konstrukcí. Mezi osou 1-6 zůstane stropní konstrukce a střecha zachována, dojde pouze k odstranění tepelné izolace a hydroizolace.</w:t>
      </w:r>
      <w:r w:rsidR="00F663B3">
        <w:t xml:space="preserve"> Předpokládaná délka této fáze je 5 až 7 dní.</w:t>
      </w:r>
    </w:p>
    <w:p w:rsidR="00D11B5E" w:rsidRDefault="00E73F2A" w:rsidP="00283CE0">
      <w:pPr>
        <w:spacing w:before="120"/>
        <w:jc w:val="both"/>
      </w:pPr>
      <w:r w:rsidRPr="00D11B5E">
        <w:t xml:space="preserve">Následně </w:t>
      </w:r>
      <w:r w:rsidR="00EB5BD1">
        <w:t xml:space="preserve">proběhne zpevnění stropní konstrukce v 1. NP a </w:t>
      </w:r>
      <w:r w:rsidR="00571507" w:rsidRPr="00D11B5E">
        <w:t xml:space="preserve">objekt </w:t>
      </w:r>
      <w:r w:rsidR="00EB5BD1">
        <w:t xml:space="preserve">bude </w:t>
      </w:r>
      <w:r w:rsidR="00571507" w:rsidRPr="00D11B5E">
        <w:t>nadstaven o jedno nadzemní podlaží (nástavba 6.NP). Nová střecha</w:t>
      </w:r>
      <w:r w:rsidR="00554FE7" w:rsidRPr="00D11B5E">
        <w:t xml:space="preserve"> </w:t>
      </w:r>
      <w:r w:rsidR="00571507" w:rsidRPr="00D11B5E">
        <w:t xml:space="preserve">bude plochá. </w:t>
      </w:r>
      <w:r w:rsidR="00D11B5E" w:rsidRPr="00D11B5E">
        <w:t>Nosnou konstrukcí nástavby objektu budou ocelové sloupy a průvlaky (</w:t>
      </w:r>
      <w:r w:rsidR="00527313">
        <w:t xml:space="preserve">šroubované </w:t>
      </w:r>
      <w:r w:rsidR="00D11B5E" w:rsidRPr="00D11B5E">
        <w:t>ocelové rámy). Na průvlacích bude uložená plechobetonová stropní konstrukce. O</w:t>
      </w:r>
      <w:r w:rsidR="00571507" w:rsidRPr="00D11B5E">
        <w:t>bvodové stěny</w:t>
      </w:r>
      <w:r w:rsidR="00554FE7" w:rsidRPr="00D11B5E">
        <w:t xml:space="preserve"> </w:t>
      </w:r>
      <w:r w:rsidR="00571507" w:rsidRPr="00D11B5E">
        <w:t>nástavby budou provedeny z pórobetonových tvárnic Hebel šířky 300 mm.</w:t>
      </w:r>
      <w:r w:rsidR="00554FE7" w:rsidRPr="00D11B5E">
        <w:t xml:space="preserve"> </w:t>
      </w:r>
      <w:r w:rsidR="00536590" w:rsidRPr="00D11B5E">
        <w:t>Veškeré stavební konstrukce budou odpovídat požadavkům na zvukovou izolaci dle normy ČSN 73 05 32.</w:t>
      </w:r>
      <w:r w:rsidR="00D11B5E" w:rsidRPr="00D11B5E">
        <w:t xml:space="preserve"> Nad úroveň střechy bude vyčnívat ještě strojovna výtahu. V ose 6 bude výškový rozdíl, proto zde bude železobetonové vyrovnávací schodiště. Stávající výtah bude demontován a nahrazen novým.</w:t>
      </w:r>
    </w:p>
    <w:p w:rsidR="00F663B3" w:rsidRDefault="004964B1" w:rsidP="00283CE0">
      <w:pPr>
        <w:spacing w:before="120"/>
        <w:jc w:val="both"/>
      </w:pPr>
      <w:r>
        <w:t>Výška nového objektu bude 22 m, střecha šachty výtahu bude ve výšce 24,6 m, tzn. 11,4 m a 14,1 m nad úrovní ul. Křížová.</w:t>
      </w:r>
      <w:r w:rsidR="00F663B3">
        <w:t xml:space="preserve"> Předpokládaná délka této fáze je jeden měsíc.</w:t>
      </w:r>
    </w:p>
    <w:p w:rsidR="00941569" w:rsidRDefault="00941569" w:rsidP="00283CE0">
      <w:pPr>
        <w:spacing w:before="120"/>
        <w:jc w:val="both"/>
      </w:pPr>
      <w:r>
        <w:t>Zároveň bude probíhat montáž nových vnitřních příček a úprav stávajících povrchů (výměna PVC, dlažeb a obkladů).</w:t>
      </w:r>
    </w:p>
    <w:p w:rsidR="00E90F51" w:rsidRDefault="00EC45BB" w:rsidP="00283CE0">
      <w:pPr>
        <w:spacing w:before="120"/>
        <w:jc w:val="both"/>
      </w:pPr>
      <w:r>
        <w:t>V další fázi bude kolem objektu postaveno lešení a proběhne oprava vnějších fasád a zateplení. D</w:t>
      </w:r>
      <w:r w:rsidR="00E90F51">
        <w:t xml:space="preserve">ojde </w:t>
      </w:r>
      <w:r>
        <w:t xml:space="preserve">rovněž </w:t>
      </w:r>
      <w:r w:rsidR="00E90F51">
        <w:t>k demontáži oken smě</w:t>
      </w:r>
      <w:r>
        <w:t xml:space="preserve">řujících </w:t>
      </w:r>
      <w:r w:rsidR="00E90F51">
        <w:t>do dvora areálu a jejich zazdění.</w:t>
      </w:r>
      <w:r w:rsidR="00827174">
        <w:t xml:space="preserve"> Na závěr bude provedena montáž vnitřních instalací.</w:t>
      </w:r>
    </w:p>
    <w:p w:rsidR="00571507" w:rsidRDefault="00E90F51" w:rsidP="00571507">
      <w:r>
        <w:t xml:space="preserve"> </w:t>
      </w:r>
    </w:p>
    <w:p w:rsidR="00571507" w:rsidRDefault="00571507" w:rsidP="00263777">
      <w:pPr>
        <w:rPr>
          <w:rFonts w:ascii="Calibri" w:hAnsi="Calibri" w:cs="Calibri"/>
        </w:rPr>
      </w:pPr>
    </w:p>
    <w:p w:rsidR="00E675BB" w:rsidRDefault="00E675BB" w:rsidP="00263777">
      <w:pPr>
        <w:rPr>
          <w:rFonts w:ascii="Calibri" w:hAnsi="Calibri" w:cs="Calibri"/>
        </w:rPr>
      </w:pPr>
    </w:p>
    <w:p w:rsidR="00283CE0" w:rsidRDefault="00283CE0" w:rsidP="00263777">
      <w:pPr>
        <w:rPr>
          <w:rFonts w:ascii="Calibri" w:hAnsi="Calibri" w:cs="Calibri"/>
        </w:rPr>
      </w:pPr>
    </w:p>
    <w:p w:rsidR="00283CE0" w:rsidRDefault="00283CE0" w:rsidP="00263777">
      <w:pPr>
        <w:rPr>
          <w:rFonts w:ascii="Calibri" w:hAnsi="Calibri" w:cs="Calibri"/>
        </w:rPr>
      </w:pPr>
      <w:bookmarkStart w:id="31" w:name="_GoBack"/>
      <w:bookmarkEnd w:id="31"/>
    </w:p>
    <w:p w:rsidR="00283CE0" w:rsidRDefault="00283CE0" w:rsidP="00263777">
      <w:pPr>
        <w:rPr>
          <w:rFonts w:ascii="Calibri" w:hAnsi="Calibri" w:cs="Calibri"/>
        </w:rPr>
      </w:pPr>
    </w:p>
    <w:p w:rsidR="00283CE0" w:rsidRDefault="00283CE0" w:rsidP="00263777">
      <w:pPr>
        <w:rPr>
          <w:rFonts w:ascii="Calibri" w:hAnsi="Calibri" w:cs="Calibri"/>
        </w:rPr>
      </w:pPr>
    </w:p>
    <w:p w:rsidR="00283CE0" w:rsidRDefault="00283CE0" w:rsidP="00263777">
      <w:pPr>
        <w:rPr>
          <w:rFonts w:ascii="Calibri" w:hAnsi="Calibri" w:cs="Calibri"/>
        </w:rPr>
      </w:pPr>
    </w:p>
    <w:p w:rsidR="00827174" w:rsidRDefault="00827174" w:rsidP="00263777">
      <w:pPr>
        <w:rPr>
          <w:rFonts w:ascii="Calibri" w:hAnsi="Calibri" w:cs="Calibri"/>
        </w:rPr>
      </w:pPr>
    </w:p>
    <w:p w:rsidR="00827174" w:rsidRDefault="00827174" w:rsidP="00263777">
      <w:pPr>
        <w:rPr>
          <w:rFonts w:ascii="Calibri" w:hAnsi="Calibri" w:cs="Calibri"/>
        </w:rPr>
      </w:pPr>
    </w:p>
    <w:p w:rsidR="00827174" w:rsidRDefault="00827174" w:rsidP="00263777">
      <w:pPr>
        <w:rPr>
          <w:rFonts w:ascii="Calibri" w:hAnsi="Calibri" w:cs="Calibri"/>
        </w:rPr>
      </w:pPr>
    </w:p>
    <w:p w:rsidR="0048750C" w:rsidRDefault="0048750C" w:rsidP="00263777">
      <w:pPr>
        <w:rPr>
          <w:rFonts w:ascii="Calibri" w:hAnsi="Calibri" w:cs="Calibri"/>
        </w:rPr>
      </w:pPr>
    </w:p>
    <w:p w:rsidR="00665675" w:rsidRDefault="00665675" w:rsidP="00263777">
      <w:pPr>
        <w:rPr>
          <w:rFonts w:ascii="Calibri" w:hAnsi="Calibri" w:cs="Calibri"/>
        </w:rPr>
      </w:pPr>
    </w:p>
    <w:p w:rsidR="00263777" w:rsidRDefault="00263777" w:rsidP="00263777">
      <w:pPr>
        <w:pStyle w:val="Textpsmene"/>
        <w:numPr>
          <w:ilvl w:val="0"/>
          <w:numId w:val="0"/>
        </w:numPr>
        <w:ind w:left="5760" w:hanging="360"/>
        <w:rPr>
          <w:szCs w:val="24"/>
        </w:rPr>
      </w:pPr>
    </w:p>
    <w:p w:rsidR="0048750C" w:rsidRDefault="0048750C" w:rsidP="00263777">
      <w:pPr>
        <w:pStyle w:val="Textpsmene"/>
        <w:numPr>
          <w:ilvl w:val="0"/>
          <w:numId w:val="0"/>
        </w:numPr>
        <w:ind w:left="5760" w:hanging="360"/>
        <w:rPr>
          <w:szCs w:val="24"/>
        </w:rPr>
      </w:pPr>
    </w:p>
    <w:p w:rsidR="004A09D6" w:rsidRDefault="004A09D6" w:rsidP="001C746B">
      <w:pPr>
        <w:spacing w:before="120"/>
        <w:jc w:val="both"/>
      </w:pPr>
    </w:p>
    <w:p w:rsidR="00290574" w:rsidRPr="00FC4577" w:rsidRDefault="00290574" w:rsidP="00290574">
      <w:pPr>
        <w:pStyle w:val="Zkltext"/>
        <w:rPr>
          <w:sz w:val="6"/>
          <w:szCs w:val="6"/>
        </w:rPr>
      </w:pPr>
    </w:p>
    <w:p w:rsidR="00290574" w:rsidRPr="00F760EF" w:rsidRDefault="00290574" w:rsidP="00290574">
      <w:pPr>
        <w:pStyle w:val="Nadpis1"/>
        <w:spacing w:before="60"/>
        <w:rPr>
          <w:rFonts w:ascii="Times New Roman" w:hAnsi="Times New Roman" w:cs="Times New Roman"/>
          <w:bCs w:val="0"/>
          <w:color w:val="000000"/>
        </w:rPr>
      </w:pPr>
      <w:bookmarkStart w:id="32" w:name="_Toc467897934"/>
      <w:bookmarkStart w:id="33" w:name="_Toc140642847"/>
      <w:bookmarkStart w:id="34" w:name="_Toc410379006"/>
      <w:r w:rsidRPr="00F760EF">
        <w:rPr>
          <w:rFonts w:ascii="Times New Roman" w:hAnsi="Times New Roman" w:cs="Times New Roman"/>
          <w:bCs w:val="0"/>
          <w:color w:val="000000"/>
        </w:rPr>
        <w:t>4. Hygienické limity</w:t>
      </w:r>
      <w:bookmarkEnd w:id="32"/>
      <w:bookmarkEnd w:id="33"/>
      <w:r w:rsidRPr="00F760EF">
        <w:rPr>
          <w:rFonts w:ascii="Times New Roman" w:hAnsi="Times New Roman" w:cs="Times New Roman"/>
          <w:bCs w:val="0"/>
          <w:color w:val="000000"/>
        </w:rPr>
        <w:t xml:space="preserve"> </w:t>
      </w:r>
      <w:r w:rsidR="00C05227">
        <w:rPr>
          <w:rFonts w:ascii="Times New Roman" w:hAnsi="Times New Roman" w:cs="Times New Roman"/>
          <w:bCs w:val="0"/>
          <w:color w:val="000000"/>
        </w:rPr>
        <w:t xml:space="preserve">pro </w:t>
      </w:r>
      <w:r w:rsidR="00A253EE">
        <w:rPr>
          <w:rFonts w:ascii="Times New Roman" w:hAnsi="Times New Roman" w:cs="Times New Roman"/>
          <w:bCs w:val="0"/>
          <w:color w:val="000000"/>
        </w:rPr>
        <w:t xml:space="preserve">hluk ze </w:t>
      </w:r>
      <w:r w:rsidR="00C05227">
        <w:rPr>
          <w:rFonts w:ascii="Times New Roman" w:hAnsi="Times New Roman" w:cs="Times New Roman"/>
          <w:bCs w:val="0"/>
          <w:color w:val="000000"/>
        </w:rPr>
        <w:t>stavební činnost</w:t>
      </w:r>
      <w:r w:rsidR="00A253EE">
        <w:rPr>
          <w:rFonts w:ascii="Times New Roman" w:hAnsi="Times New Roman" w:cs="Times New Roman"/>
          <w:bCs w:val="0"/>
          <w:color w:val="000000"/>
        </w:rPr>
        <w:t>i</w:t>
      </w:r>
      <w:bookmarkEnd w:id="34"/>
    </w:p>
    <w:p w:rsidR="00290574" w:rsidRDefault="00290574" w:rsidP="00A579A9">
      <w:pPr>
        <w:spacing w:before="120"/>
        <w:jc w:val="both"/>
      </w:pPr>
      <w:r>
        <w:t>Problematika ochrany před hlukem, tedy zvukem</w:t>
      </w:r>
      <w:r>
        <w:rPr>
          <w:color w:val="000000"/>
        </w:rPr>
        <w:t>, který může být škodlivý pro zdraví</w:t>
      </w:r>
      <w:r w:rsidR="00FF1F6F">
        <w:rPr>
          <w:color w:val="000000"/>
        </w:rPr>
        <w:t>,</w:t>
      </w:r>
      <w:r>
        <w:rPr>
          <w:color w:val="000000"/>
        </w:rPr>
        <w:t xml:space="preserve"> vychází z dikce zákona č. 258/2000 Sb. (díl 6, §30), </w:t>
      </w:r>
      <w:r>
        <w:rPr>
          <w:bCs/>
          <w:color w:val="000000"/>
        </w:rPr>
        <w:t>o ochraně veřejného zdraví,</w:t>
      </w:r>
      <w:r>
        <w:rPr>
          <w:color w:val="000000"/>
        </w:rPr>
        <w:t xml:space="preserve"> v platném znění:  </w:t>
      </w:r>
    </w:p>
    <w:p w:rsidR="00290574" w:rsidRDefault="00290574" w:rsidP="00A579A9">
      <w:pPr>
        <w:spacing w:before="40"/>
        <w:jc w:val="both"/>
        <w:rPr>
          <w:i/>
          <w:color w:val="000000"/>
        </w:rPr>
      </w:pPr>
      <w:r>
        <w:rPr>
          <w:i/>
          <w:color w:val="000000"/>
        </w:rPr>
        <w:t>Osoba, která používá, popřípadě provozuje stroje a zařízení, které jsou zdrojem hluku nebo vibrací a provozovatel dalších objektů, jejichž provozem vzniká hluk, jsou povinni technickými, organizačními a dalšími opatřeními v rozsahu stanoveném tímto zákonem a prováděcím právním předpisem zajistit, aby hluk nepřekračoval hygienické limity upravené prováděcím právním předpisem pro chráněný venkovní prostor, chráněné vnitřní prostory staveb a chráněné venkovní prostory staveb.</w:t>
      </w:r>
    </w:p>
    <w:p w:rsidR="00290574" w:rsidRDefault="00290574" w:rsidP="00A579A9">
      <w:pPr>
        <w:spacing w:before="40"/>
        <w:jc w:val="both"/>
        <w:rPr>
          <w:i/>
        </w:rPr>
      </w:pPr>
      <w:r>
        <w:rPr>
          <w:i/>
          <w:color w:val="000000"/>
          <w:u w:val="single"/>
        </w:rPr>
        <w:t>Chráněným venkovním prostorem staveb</w:t>
      </w:r>
      <w:r>
        <w:rPr>
          <w:i/>
          <w:color w:val="000000"/>
        </w:rPr>
        <w:t xml:space="preserve"> se rozumí prostor do </w:t>
      </w:r>
      <w:smartTag w:uri="urn:schemas-microsoft-com:office:smarttags" w:element="metricconverter">
        <w:smartTagPr>
          <w:attr w:name="ProductID" w:val="2 m"/>
        </w:smartTagPr>
        <w:r>
          <w:rPr>
            <w:i/>
            <w:color w:val="000000"/>
          </w:rPr>
          <w:t>2 m</w:t>
        </w:r>
      </w:smartTag>
      <w:r>
        <w:rPr>
          <w:i/>
          <w:color w:val="000000"/>
        </w:rPr>
        <w:t xml:space="preserve"> okolo bytových domů, rodinných domů, staveb pro školní a předškolní výchovu a pro zdravotní a sociální účely, jakož i funkčně obdobných staveb. </w:t>
      </w:r>
      <w:r>
        <w:rPr>
          <w:i/>
          <w:color w:val="000000"/>
          <w:u w:val="single"/>
        </w:rPr>
        <w:t>Chráněným vnitřním prostorem staveb</w:t>
      </w:r>
      <w:r>
        <w:rPr>
          <w:i/>
          <w:color w:val="000000"/>
        </w:rPr>
        <w:t xml:space="preserve"> se rozumí obytné a pobytové místnosti s výjimkou místností ve stavbách pro individuální rekreaci a ve stavbách pro výrobu a skladování. </w:t>
      </w:r>
    </w:p>
    <w:p w:rsidR="00F760EF" w:rsidRDefault="00F760EF" w:rsidP="00DE21DC">
      <w:pPr>
        <w:ind w:firstLine="360"/>
        <w:jc w:val="both"/>
        <w:rPr>
          <w:sz w:val="12"/>
          <w:szCs w:val="12"/>
        </w:rPr>
      </w:pPr>
    </w:p>
    <w:p w:rsidR="00134BEC" w:rsidRDefault="00290574" w:rsidP="00A579A9">
      <w:pPr>
        <w:jc w:val="both"/>
      </w:pPr>
      <w:r>
        <w:t xml:space="preserve">Deskriptorem akustické situace ve venkovním prostředí, pomocí něhož se zjišťuje zasažení obyvatelstva v sídlech, resp. zasažení území sídel nepřípustně vysokými hladinami hluku, je </w:t>
      </w:r>
      <w:r w:rsidRPr="00041910">
        <w:t>ekvivalentní hladina akustického tlaku A</w:t>
      </w:r>
      <w:r w:rsidRPr="003949FC">
        <w:t xml:space="preserve"> (L</w:t>
      </w:r>
      <w:r w:rsidRPr="00041910">
        <w:t>Aeg</w:t>
      </w:r>
      <w:r w:rsidRPr="003949FC">
        <w:t>)</w:t>
      </w:r>
      <w:r>
        <w:t xml:space="preserve"> udávaná v decibelech [dB]</w:t>
      </w:r>
      <w:r w:rsidR="00041910">
        <w:t xml:space="preserve">, tedy </w:t>
      </w:r>
      <w:r w:rsidR="00041910" w:rsidRPr="00041910">
        <w:t>hodnota akustického tlaku uvažovaná s váhovým filtrem A</w:t>
      </w:r>
      <w:r>
        <w:t xml:space="preserve">. Nejvyšší přípustnou ekvivalentní hladinu hluku ve venkovním prostoru stanoví nařízení vlády (dále jen NV) č. </w:t>
      </w:r>
      <w:r w:rsidR="003949FC">
        <w:t>272</w:t>
      </w:r>
      <w:r>
        <w:t>/20</w:t>
      </w:r>
      <w:r w:rsidR="003949FC">
        <w:t>11</w:t>
      </w:r>
      <w:r>
        <w:t xml:space="preserve"> Sb., o ochraně zdraví před nepříznivými účinky hluku a vibrací, jako součet základní hladiny L</w:t>
      </w:r>
      <w:r>
        <w:rPr>
          <w:vertAlign w:val="subscript"/>
        </w:rPr>
        <w:t xml:space="preserve">Aeg,T </w:t>
      </w:r>
      <w:r>
        <w:t>= 50 dB a korekcí přihlížejících k místním podmínkám a denní době.</w:t>
      </w:r>
      <w:r w:rsidR="009F407F">
        <w:t xml:space="preserve"> </w:t>
      </w:r>
    </w:p>
    <w:p w:rsidR="00041910" w:rsidRDefault="00041910" w:rsidP="00A579A9">
      <w:pPr>
        <w:jc w:val="both"/>
      </w:pPr>
    </w:p>
    <w:p w:rsidR="00041910" w:rsidRDefault="00041910" w:rsidP="00041910">
      <w:pPr>
        <w:autoSpaceDE w:val="0"/>
        <w:autoSpaceDN w:val="0"/>
        <w:adjustRightInd w:val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Vzhledem k účelu a větší srozumitelnosti studie je v textu používáno slovo hluk</w:t>
      </w:r>
    </w:p>
    <w:p w:rsidR="00041910" w:rsidRDefault="00041910" w:rsidP="00041910">
      <w:pPr>
        <w:autoSpaceDE w:val="0"/>
        <w:autoSpaceDN w:val="0"/>
        <w:adjustRightInd w:val="0"/>
        <w:rPr>
          <w:rFonts w:ascii="TimesNewRomanPSMT" w:hAnsi="TimesNewRomanPSMT" w:cs="TimesNewRomanPSMT"/>
          <w:sz w:val="26"/>
          <w:szCs w:val="26"/>
        </w:rPr>
      </w:pPr>
      <w:r>
        <w:rPr>
          <w:rFonts w:ascii="TimesNewRomanPSMT" w:hAnsi="TimesNewRomanPSMT" w:cs="TimesNewRomanPSMT"/>
          <w:sz w:val="26"/>
          <w:szCs w:val="26"/>
        </w:rPr>
        <w:t>místo věcně správného výrazu akustický tlak, stejně tak se v textu automaticky rozumí,</w:t>
      </w:r>
    </w:p>
    <w:p w:rsidR="00041910" w:rsidRDefault="00041910" w:rsidP="00041910">
      <w:pPr>
        <w:jc w:val="both"/>
      </w:pPr>
      <w:r>
        <w:rPr>
          <w:rFonts w:ascii="TimesNewRomanPSMT" w:hAnsi="TimesNewRomanPSMT" w:cs="TimesNewRomanPSMT"/>
          <w:sz w:val="26"/>
          <w:szCs w:val="26"/>
        </w:rPr>
        <w:t>že hodnota hluku (akustického tlaku) je uvažována s váhovým filtrem A. Výpočty</w:t>
      </w:r>
    </w:p>
    <w:p w:rsidR="00134BEC" w:rsidRPr="00134BEC" w:rsidRDefault="00134BEC" w:rsidP="00DE21DC">
      <w:pPr>
        <w:ind w:firstLine="360"/>
        <w:jc w:val="both"/>
        <w:rPr>
          <w:sz w:val="12"/>
          <w:szCs w:val="12"/>
        </w:rPr>
      </w:pPr>
    </w:p>
    <w:p w:rsidR="00AD421A" w:rsidRDefault="009F407F" w:rsidP="00A579A9">
      <w:pPr>
        <w:jc w:val="both"/>
      </w:pPr>
      <w:r>
        <w:t>L</w:t>
      </w:r>
      <w:r w:rsidR="00290574" w:rsidRPr="00B2600B">
        <w:t xml:space="preserve">imitní hodnoty akustického tlaku </w:t>
      </w:r>
      <w:r w:rsidR="00290574" w:rsidRPr="00BD486D">
        <w:t>ze stavební činnosti</w:t>
      </w:r>
      <w:r w:rsidR="00290574" w:rsidRPr="00B2600B">
        <w:t xml:space="preserve"> v chráněném venkovním prostoru </w:t>
      </w:r>
      <w:r w:rsidR="00290574">
        <w:t xml:space="preserve">a v </w:t>
      </w:r>
      <w:r w:rsidR="00290574" w:rsidRPr="00B2600B">
        <w:t>chráněném venkovním prostoru staveb jsou dány součtem základního hygienického limitu v ekvivalentní hladině akustického tlaku A L</w:t>
      </w:r>
      <w:r w:rsidR="00290574" w:rsidRPr="00B2600B">
        <w:rPr>
          <w:vertAlign w:val="subscript"/>
        </w:rPr>
        <w:t>Aeg,T</w:t>
      </w:r>
      <w:r w:rsidR="00290574" w:rsidRPr="00B2600B">
        <w:t xml:space="preserve"> 50</w:t>
      </w:r>
      <w:r w:rsidR="00A579A9">
        <w:t xml:space="preserve"> </w:t>
      </w:r>
      <w:r w:rsidR="00290574" w:rsidRPr="00B2600B">
        <w:t>dB pro denní a 40</w:t>
      </w:r>
      <w:r w:rsidR="00A579A9">
        <w:t xml:space="preserve"> </w:t>
      </w:r>
      <w:r w:rsidR="00290574" w:rsidRPr="00B2600B">
        <w:t xml:space="preserve">dB pro noční dobu a příslušné korekce dle přílohy č.3, části B téhož </w:t>
      </w:r>
      <w:r>
        <w:t>NV</w:t>
      </w:r>
      <w:r w:rsidR="00AD421A">
        <w:t xml:space="preserve"> (viz následující tabulka):</w:t>
      </w:r>
    </w:p>
    <w:p w:rsidR="00AD421A" w:rsidRPr="00D32AD9" w:rsidRDefault="00AD421A" w:rsidP="00F760EF">
      <w:pPr>
        <w:ind w:firstLine="709"/>
        <w:jc w:val="both"/>
        <w:rPr>
          <w:sz w:val="12"/>
          <w:szCs w:val="12"/>
        </w:rPr>
      </w:pPr>
    </w:p>
    <w:p w:rsidR="00AD421A" w:rsidRPr="001915C9" w:rsidRDefault="00DE21DC" w:rsidP="00DE21DC">
      <w:pPr>
        <w:spacing w:after="60"/>
        <w:ind w:firstLine="357"/>
        <w:jc w:val="both"/>
        <w:rPr>
          <w:i/>
        </w:rPr>
      </w:pPr>
      <w:r w:rsidRPr="001915C9">
        <w:rPr>
          <w:i/>
        </w:rPr>
        <w:t xml:space="preserve">Tabulka 1 – Korekce hluku ze stavební činnosti </w:t>
      </w:r>
    </w:p>
    <w:tbl>
      <w:tblPr>
        <w:tblStyle w:val="Mkatabulky"/>
        <w:tblW w:w="0" w:type="auto"/>
        <w:tblInd w:w="468" w:type="dxa"/>
        <w:tblLook w:val="01E0" w:firstRow="1" w:lastRow="1" w:firstColumn="1" w:lastColumn="1" w:noHBand="0" w:noVBand="0"/>
      </w:tblPr>
      <w:tblGrid>
        <w:gridCol w:w="2475"/>
        <w:gridCol w:w="2169"/>
        <w:gridCol w:w="1560"/>
      </w:tblGrid>
      <w:tr w:rsidR="00E61AF1" w:rsidRPr="00DE21DC" w:rsidTr="00E61AF1">
        <w:tc>
          <w:tcPr>
            <w:tcW w:w="2475" w:type="dxa"/>
          </w:tcPr>
          <w:p w:rsidR="00E61AF1" w:rsidRPr="00DE21DC" w:rsidRDefault="00E61AF1" w:rsidP="00DE21DC">
            <w:pPr>
              <w:jc w:val="center"/>
              <w:rPr>
                <w:b/>
                <w:sz w:val="22"/>
                <w:szCs w:val="22"/>
              </w:rPr>
            </w:pPr>
            <w:r w:rsidRPr="00DE21DC">
              <w:rPr>
                <w:b/>
                <w:sz w:val="22"/>
                <w:szCs w:val="22"/>
              </w:rPr>
              <w:t>Posuzovaná doba (hod)</w:t>
            </w:r>
          </w:p>
        </w:tc>
        <w:tc>
          <w:tcPr>
            <w:tcW w:w="2169" w:type="dxa"/>
          </w:tcPr>
          <w:p w:rsidR="00E61AF1" w:rsidRPr="00DE21DC" w:rsidRDefault="00E61AF1" w:rsidP="00DE21DC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Hluková zátěž (hod)</w:t>
            </w:r>
          </w:p>
        </w:tc>
        <w:tc>
          <w:tcPr>
            <w:tcW w:w="1560" w:type="dxa"/>
          </w:tcPr>
          <w:p w:rsidR="00E61AF1" w:rsidRPr="00DE21DC" w:rsidRDefault="00E61AF1" w:rsidP="00DE21DC">
            <w:pPr>
              <w:jc w:val="center"/>
              <w:rPr>
                <w:b/>
                <w:sz w:val="22"/>
                <w:szCs w:val="22"/>
              </w:rPr>
            </w:pPr>
            <w:r w:rsidRPr="00DE21DC">
              <w:rPr>
                <w:b/>
                <w:sz w:val="22"/>
                <w:szCs w:val="22"/>
              </w:rPr>
              <w:t>Korekce (dB)</w:t>
            </w:r>
          </w:p>
        </w:tc>
      </w:tr>
      <w:tr w:rsidR="00E61AF1" w:rsidRPr="00DE21DC" w:rsidTr="00E61AF1">
        <w:tc>
          <w:tcPr>
            <w:tcW w:w="2475" w:type="dxa"/>
          </w:tcPr>
          <w:p w:rsidR="00E61AF1" w:rsidRPr="00DE21DC" w:rsidRDefault="00E61AF1" w:rsidP="00F760EF">
            <w:pPr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od 6:00 do 7:00</w:t>
            </w:r>
          </w:p>
        </w:tc>
        <w:tc>
          <w:tcPr>
            <w:tcW w:w="2169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+10</w:t>
            </w:r>
          </w:p>
        </w:tc>
      </w:tr>
      <w:tr w:rsidR="00E61AF1" w:rsidRPr="00DE21DC" w:rsidTr="00E61AF1">
        <w:tc>
          <w:tcPr>
            <w:tcW w:w="2475" w:type="dxa"/>
          </w:tcPr>
          <w:p w:rsidR="00E61AF1" w:rsidRPr="00DE21DC" w:rsidRDefault="00E61AF1" w:rsidP="00F760EF">
            <w:pPr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od 7:00 do 21:00</w:t>
            </w:r>
          </w:p>
        </w:tc>
        <w:tc>
          <w:tcPr>
            <w:tcW w:w="2169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</w:t>
            </w:r>
          </w:p>
        </w:tc>
        <w:tc>
          <w:tcPr>
            <w:tcW w:w="1560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+15</w:t>
            </w:r>
          </w:p>
        </w:tc>
      </w:tr>
      <w:tr w:rsidR="00E61AF1" w:rsidRPr="00DE21DC" w:rsidTr="00E61AF1">
        <w:tc>
          <w:tcPr>
            <w:tcW w:w="2475" w:type="dxa"/>
          </w:tcPr>
          <w:p w:rsidR="00E61AF1" w:rsidRPr="00DE21DC" w:rsidRDefault="00E61AF1" w:rsidP="00F760EF">
            <w:pPr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od 21:00 do 22:00</w:t>
            </w:r>
          </w:p>
        </w:tc>
        <w:tc>
          <w:tcPr>
            <w:tcW w:w="2169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560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+10</w:t>
            </w:r>
          </w:p>
        </w:tc>
      </w:tr>
      <w:tr w:rsidR="00E61AF1" w:rsidRPr="00DE21DC" w:rsidTr="00E61AF1">
        <w:tc>
          <w:tcPr>
            <w:tcW w:w="2475" w:type="dxa"/>
          </w:tcPr>
          <w:p w:rsidR="00E61AF1" w:rsidRPr="00DE21DC" w:rsidRDefault="00E61AF1" w:rsidP="00F760EF">
            <w:pPr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od 22:00 do 6:00</w:t>
            </w:r>
          </w:p>
        </w:tc>
        <w:tc>
          <w:tcPr>
            <w:tcW w:w="2169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560" w:type="dxa"/>
          </w:tcPr>
          <w:p w:rsidR="00E61AF1" w:rsidRPr="00DE21DC" w:rsidRDefault="00E61AF1" w:rsidP="00DE21DC">
            <w:pPr>
              <w:jc w:val="center"/>
              <w:rPr>
                <w:sz w:val="22"/>
                <w:szCs w:val="22"/>
              </w:rPr>
            </w:pPr>
            <w:r w:rsidRPr="00DE21DC">
              <w:rPr>
                <w:sz w:val="22"/>
                <w:szCs w:val="22"/>
              </w:rPr>
              <w:t>+5</w:t>
            </w:r>
          </w:p>
        </w:tc>
      </w:tr>
    </w:tbl>
    <w:p w:rsidR="00AD421A" w:rsidRDefault="00AD421A" w:rsidP="00F760EF">
      <w:pPr>
        <w:ind w:firstLine="709"/>
        <w:jc w:val="both"/>
      </w:pPr>
    </w:p>
    <w:p w:rsidR="00AD421A" w:rsidRPr="00DE21DC" w:rsidRDefault="00AD421A" w:rsidP="00F760EF">
      <w:pPr>
        <w:ind w:firstLine="709"/>
        <w:jc w:val="both"/>
        <w:rPr>
          <w:sz w:val="6"/>
          <w:szCs w:val="6"/>
        </w:rPr>
      </w:pPr>
    </w:p>
    <w:p w:rsidR="00D32AD9" w:rsidRPr="00A579A9" w:rsidRDefault="00D32AD9" w:rsidP="00BB18E6">
      <w:pPr>
        <w:pStyle w:val="Zkladntext"/>
        <w:tabs>
          <w:tab w:val="left" w:pos="1021"/>
        </w:tabs>
        <w:jc w:val="both"/>
        <w:rPr>
          <w:sz w:val="6"/>
          <w:szCs w:val="6"/>
        </w:rPr>
      </w:pPr>
    </w:p>
    <w:p w:rsidR="0056756B" w:rsidRDefault="00E61AF1" w:rsidP="0056756B">
      <w:pPr>
        <w:pStyle w:val="Zkladntext"/>
        <w:tabs>
          <w:tab w:val="left" w:pos="1021"/>
        </w:tabs>
        <w:jc w:val="both"/>
        <w:rPr>
          <w:rFonts w:cs="Arial"/>
          <w:sz w:val="24"/>
          <w:szCs w:val="24"/>
        </w:rPr>
      </w:pPr>
      <w:r>
        <w:rPr>
          <w:sz w:val="24"/>
          <w:szCs w:val="24"/>
        </w:rPr>
        <w:t xml:space="preserve">Výše uvedená </w:t>
      </w:r>
      <w:r w:rsidRPr="0056756B">
        <w:rPr>
          <w:sz w:val="24"/>
          <w:szCs w:val="24"/>
        </w:rPr>
        <w:t>korekce +15 dB je stanovena pro hluk ze stavební činnosti</w:t>
      </w:r>
      <w:r w:rsidR="00A9257C" w:rsidRPr="0056756B">
        <w:rPr>
          <w:sz w:val="24"/>
          <w:szCs w:val="24"/>
        </w:rPr>
        <w:t xml:space="preserve"> během souvislých, na sebe navazujících 14 hodin. Pokud je hluková zátěž kratší,</w:t>
      </w:r>
      <w:r w:rsidR="0056756B" w:rsidRPr="0056756B">
        <w:rPr>
          <w:sz w:val="24"/>
          <w:szCs w:val="24"/>
        </w:rPr>
        <w:t xml:space="preserve"> </w:t>
      </w:r>
      <w:r w:rsidR="0056756B" w:rsidRPr="0056756B">
        <w:rPr>
          <w:rFonts w:cs="Arial"/>
          <w:sz w:val="24"/>
          <w:szCs w:val="24"/>
        </w:rPr>
        <w:t>hygienický limit v ekvivalentní hladině akustického tlaku A pro hluk ze stavební činnosti L</w:t>
      </w:r>
      <w:r w:rsidR="0056756B" w:rsidRPr="0056756B">
        <w:rPr>
          <w:rFonts w:cs="Arial"/>
          <w:sz w:val="24"/>
          <w:szCs w:val="24"/>
          <w:vertAlign w:val="subscript"/>
        </w:rPr>
        <w:t>Aeq,s</w:t>
      </w:r>
      <w:r w:rsidR="0056756B" w:rsidRPr="0056756B">
        <w:rPr>
          <w:rFonts w:cs="Arial"/>
          <w:sz w:val="24"/>
          <w:szCs w:val="24"/>
        </w:rPr>
        <w:t xml:space="preserve"> se vypočte ze vztahu:</w:t>
      </w:r>
    </w:p>
    <w:p w:rsidR="0056756B" w:rsidRPr="000667C2" w:rsidRDefault="0056756B" w:rsidP="0056756B">
      <w:pPr>
        <w:pStyle w:val="Zkladntext"/>
        <w:spacing w:before="120" w:after="60"/>
        <w:jc w:val="both"/>
        <w:rPr>
          <w:rFonts w:cs="Arial"/>
          <w:sz w:val="24"/>
          <w:szCs w:val="24"/>
        </w:rPr>
      </w:pPr>
      <w:r w:rsidRPr="000667C2">
        <w:rPr>
          <w:rFonts w:cs="Arial"/>
          <w:i/>
          <w:iCs/>
          <w:sz w:val="24"/>
          <w:szCs w:val="24"/>
        </w:rPr>
        <w:t>L</w:t>
      </w:r>
      <w:r w:rsidRPr="000667C2">
        <w:rPr>
          <w:rFonts w:cs="Arial"/>
          <w:sz w:val="24"/>
          <w:szCs w:val="24"/>
          <w:vertAlign w:val="subscript"/>
        </w:rPr>
        <w:t>Aeq,s</w:t>
      </w:r>
      <w:r w:rsidRPr="000667C2">
        <w:rPr>
          <w:rFonts w:cs="Arial"/>
          <w:sz w:val="24"/>
          <w:szCs w:val="24"/>
        </w:rPr>
        <w:t xml:space="preserve"> = </w:t>
      </w:r>
      <w:r w:rsidRPr="000667C2">
        <w:rPr>
          <w:rFonts w:cs="Arial"/>
          <w:i/>
          <w:iCs/>
          <w:sz w:val="24"/>
          <w:szCs w:val="24"/>
        </w:rPr>
        <w:t>L</w:t>
      </w:r>
      <w:r w:rsidRPr="000667C2">
        <w:rPr>
          <w:rFonts w:cs="Arial"/>
          <w:sz w:val="24"/>
          <w:szCs w:val="24"/>
          <w:vertAlign w:val="subscript"/>
        </w:rPr>
        <w:t xml:space="preserve">Aeq,T </w:t>
      </w:r>
      <w:r w:rsidRPr="000667C2">
        <w:rPr>
          <w:rFonts w:cs="Arial"/>
          <w:sz w:val="24"/>
          <w:szCs w:val="24"/>
        </w:rPr>
        <w:t>+ 10</w:t>
      </w:r>
      <w:r w:rsidRPr="000667C2">
        <w:rPr>
          <w:rFonts w:cs="Arial"/>
          <w:sz w:val="24"/>
          <w:szCs w:val="24"/>
        </w:rPr>
        <w:sym w:font="Symbol" w:char="F0D7"/>
      </w:r>
      <w:r w:rsidRPr="000667C2">
        <w:rPr>
          <w:rFonts w:cs="Arial"/>
          <w:sz w:val="24"/>
          <w:szCs w:val="24"/>
        </w:rPr>
        <w:t xml:space="preserve">log [(429 + </w:t>
      </w:r>
      <w:r w:rsidRPr="000667C2">
        <w:rPr>
          <w:rFonts w:cs="Arial"/>
          <w:i/>
          <w:iCs/>
          <w:sz w:val="24"/>
          <w:szCs w:val="24"/>
        </w:rPr>
        <w:t>t</w:t>
      </w:r>
      <w:r w:rsidRPr="000667C2">
        <w:rPr>
          <w:rFonts w:cs="Arial"/>
          <w:sz w:val="24"/>
          <w:szCs w:val="24"/>
          <w:vertAlign w:val="subscript"/>
        </w:rPr>
        <w:t>1</w:t>
      </w:r>
      <w:r w:rsidRPr="000667C2">
        <w:rPr>
          <w:rFonts w:cs="Arial"/>
          <w:sz w:val="24"/>
          <w:szCs w:val="24"/>
        </w:rPr>
        <w:t xml:space="preserve">) / </w:t>
      </w:r>
      <w:r w:rsidRPr="000667C2">
        <w:rPr>
          <w:rFonts w:cs="Arial"/>
          <w:i/>
          <w:iCs/>
          <w:sz w:val="24"/>
          <w:szCs w:val="24"/>
        </w:rPr>
        <w:t>t</w:t>
      </w:r>
      <w:r w:rsidRPr="000667C2">
        <w:rPr>
          <w:rFonts w:cs="Arial"/>
          <w:sz w:val="24"/>
          <w:szCs w:val="24"/>
          <w:vertAlign w:val="subscript"/>
        </w:rPr>
        <w:t>1</w:t>
      </w:r>
      <w:r>
        <w:rPr>
          <w:rFonts w:cs="Arial"/>
          <w:sz w:val="24"/>
          <w:szCs w:val="24"/>
        </w:rPr>
        <w:t>)]</w:t>
      </w:r>
    </w:p>
    <w:p w:rsidR="0056756B" w:rsidRPr="000667C2" w:rsidRDefault="0056756B" w:rsidP="0056756B">
      <w:pPr>
        <w:pStyle w:val="Zkladntext"/>
        <w:tabs>
          <w:tab w:val="left" w:pos="1021"/>
        </w:tabs>
        <w:spacing w:before="120" w:after="60"/>
        <w:jc w:val="both"/>
        <w:rPr>
          <w:rFonts w:cs="Arial"/>
          <w:sz w:val="24"/>
          <w:szCs w:val="24"/>
          <w:vertAlign w:val="subscript"/>
        </w:rPr>
      </w:pPr>
      <w:r w:rsidRPr="000667C2">
        <w:rPr>
          <w:rFonts w:cs="Arial"/>
          <w:i/>
          <w:iCs/>
          <w:sz w:val="24"/>
          <w:szCs w:val="24"/>
        </w:rPr>
        <w:t>t</w:t>
      </w:r>
      <w:r w:rsidRPr="000667C2">
        <w:rPr>
          <w:rFonts w:cs="Arial"/>
          <w:sz w:val="24"/>
          <w:szCs w:val="24"/>
          <w:vertAlign w:val="subscript"/>
        </w:rPr>
        <w:t xml:space="preserve">1                       </w:t>
      </w:r>
      <w:r w:rsidRPr="000667C2">
        <w:rPr>
          <w:rFonts w:cs="Arial"/>
          <w:sz w:val="24"/>
          <w:szCs w:val="24"/>
        </w:rPr>
        <w:t>je doba trvání</w:t>
      </w:r>
      <w:r w:rsidRPr="000667C2">
        <w:rPr>
          <w:rFonts w:cs="Arial"/>
          <w:sz w:val="24"/>
          <w:szCs w:val="24"/>
          <w:vertAlign w:val="subscript"/>
        </w:rPr>
        <w:t xml:space="preserve"> </w:t>
      </w:r>
      <w:r w:rsidRPr="000667C2">
        <w:rPr>
          <w:rFonts w:cs="Arial"/>
          <w:sz w:val="24"/>
          <w:szCs w:val="24"/>
        </w:rPr>
        <w:t xml:space="preserve">hluku ze stavební činnosti v hodinách v době mezi </w:t>
      </w:r>
      <w:smartTag w:uri="urn:schemas-microsoft-com:office:smarttags" w:element="metricconverter">
        <w:smartTagPr>
          <w:attr w:name="ProductID" w:val="7. a"/>
        </w:smartTagPr>
        <w:r w:rsidRPr="000667C2">
          <w:rPr>
            <w:rFonts w:cs="Arial"/>
            <w:sz w:val="24"/>
            <w:szCs w:val="24"/>
          </w:rPr>
          <w:t>7</w:t>
        </w:r>
        <w:r>
          <w:rPr>
            <w:rFonts w:cs="Arial"/>
            <w:sz w:val="24"/>
            <w:szCs w:val="24"/>
          </w:rPr>
          <w:t>.</w:t>
        </w:r>
        <w:r w:rsidRPr="000667C2">
          <w:rPr>
            <w:rFonts w:cs="Arial"/>
            <w:sz w:val="24"/>
            <w:szCs w:val="24"/>
          </w:rPr>
          <w:t xml:space="preserve"> a</w:t>
        </w:r>
      </w:smartTag>
      <w:r w:rsidRPr="000667C2">
        <w:rPr>
          <w:rFonts w:cs="Arial"/>
          <w:sz w:val="24"/>
          <w:szCs w:val="24"/>
        </w:rPr>
        <w:t xml:space="preserve"> 21</w:t>
      </w:r>
      <w:r>
        <w:rPr>
          <w:rFonts w:cs="Arial"/>
          <w:sz w:val="24"/>
          <w:szCs w:val="24"/>
        </w:rPr>
        <w:t>. hodinou</w:t>
      </w:r>
    </w:p>
    <w:p w:rsidR="0056756B" w:rsidRDefault="0056756B" w:rsidP="0056756B">
      <w:pPr>
        <w:pStyle w:val="Zkladntext"/>
        <w:tabs>
          <w:tab w:val="left" w:pos="1021"/>
        </w:tabs>
        <w:jc w:val="both"/>
        <w:rPr>
          <w:rFonts w:cs="Arial"/>
          <w:sz w:val="24"/>
          <w:szCs w:val="24"/>
        </w:rPr>
      </w:pPr>
      <w:r w:rsidRPr="000667C2">
        <w:rPr>
          <w:rFonts w:cs="Arial"/>
          <w:i/>
          <w:iCs/>
          <w:sz w:val="24"/>
          <w:szCs w:val="24"/>
        </w:rPr>
        <w:t>L</w:t>
      </w:r>
      <w:r w:rsidRPr="000667C2">
        <w:rPr>
          <w:rFonts w:cs="Arial"/>
          <w:sz w:val="24"/>
          <w:szCs w:val="24"/>
          <w:vertAlign w:val="subscript"/>
        </w:rPr>
        <w:t xml:space="preserve">Aeq,T             </w:t>
      </w:r>
      <w:r w:rsidRPr="000667C2">
        <w:rPr>
          <w:rFonts w:cs="Arial"/>
          <w:sz w:val="24"/>
          <w:szCs w:val="24"/>
        </w:rPr>
        <w:t>je hygienický limit stanovený podle §11 odst.</w:t>
      </w:r>
      <w:r w:rsidR="000A4737">
        <w:rPr>
          <w:rFonts w:cs="Arial"/>
          <w:sz w:val="24"/>
          <w:szCs w:val="24"/>
        </w:rPr>
        <w:t xml:space="preserve"> </w:t>
      </w:r>
      <w:r w:rsidRPr="000667C2">
        <w:rPr>
          <w:rFonts w:cs="Arial"/>
          <w:sz w:val="24"/>
          <w:szCs w:val="24"/>
        </w:rPr>
        <w:t>3</w:t>
      </w:r>
    </w:p>
    <w:p w:rsidR="0056756B" w:rsidRPr="009C08A7" w:rsidRDefault="0056756B" w:rsidP="0056756B">
      <w:pPr>
        <w:spacing w:before="120"/>
        <w:jc w:val="both"/>
        <w:rPr>
          <w:rFonts w:cs="Arial"/>
          <w:color w:val="000000" w:themeColor="text1"/>
        </w:rPr>
      </w:pPr>
      <w:r w:rsidRPr="009C08A7">
        <w:rPr>
          <w:color w:val="000000" w:themeColor="text1"/>
        </w:rPr>
        <w:t xml:space="preserve">Pro </w:t>
      </w:r>
      <w:r w:rsidR="007B0158" w:rsidRPr="009C08A7">
        <w:rPr>
          <w:color w:val="000000" w:themeColor="text1"/>
        </w:rPr>
        <w:t>10</w:t>
      </w:r>
      <w:r w:rsidRPr="009C08A7">
        <w:rPr>
          <w:color w:val="000000" w:themeColor="text1"/>
        </w:rPr>
        <w:t xml:space="preserve">-hodinovou pracovní dobu mezi </w:t>
      </w:r>
      <w:smartTag w:uri="urn:schemas-microsoft-com:office:smarttags" w:element="metricconverter">
        <w:smartTagPr>
          <w:attr w:name="ProductID" w:val="7. a"/>
        </w:smartTagPr>
        <w:r w:rsidRPr="009C08A7">
          <w:rPr>
            <w:rFonts w:cs="Arial"/>
            <w:color w:val="000000" w:themeColor="text1"/>
          </w:rPr>
          <w:t>7. a</w:t>
        </w:r>
      </w:smartTag>
      <w:r w:rsidRPr="009C08A7">
        <w:rPr>
          <w:rFonts w:cs="Arial"/>
          <w:color w:val="000000" w:themeColor="text1"/>
        </w:rPr>
        <w:t xml:space="preserve"> 21. hodinou</w:t>
      </w:r>
      <w:r w:rsidRPr="009C08A7">
        <w:rPr>
          <w:color w:val="000000" w:themeColor="text1"/>
        </w:rPr>
        <w:t xml:space="preserve"> tedy platí limit </w:t>
      </w:r>
      <w:r w:rsidRPr="009C08A7">
        <w:rPr>
          <w:rFonts w:cs="Arial"/>
          <w:b/>
          <w:iCs/>
          <w:color w:val="000000" w:themeColor="text1"/>
        </w:rPr>
        <w:t>L</w:t>
      </w:r>
      <w:r w:rsidRPr="009C08A7">
        <w:rPr>
          <w:rFonts w:cs="Arial"/>
          <w:b/>
          <w:color w:val="000000" w:themeColor="text1"/>
          <w:vertAlign w:val="subscript"/>
        </w:rPr>
        <w:t>Aeq,s</w:t>
      </w:r>
      <w:r w:rsidRPr="009C08A7">
        <w:rPr>
          <w:rFonts w:cs="Arial"/>
          <w:b/>
          <w:color w:val="000000" w:themeColor="text1"/>
        </w:rPr>
        <w:t xml:space="preserve"> = 6</w:t>
      </w:r>
      <w:r w:rsidR="009C08A7">
        <w:rPr>
          <w:rFonts w:cs="Arial"/>
          <w:b/>
          <w:color w:val="000000" w:themeColor="text1"/>
        </w:rPr>
        <w:t>6</w:t>
      </w:r>
      <w:r w:rsidRPr="009C08A7">
        <w:rPr>
          <w:rFonts w:cs="Arial"/>
          <w:b/>
          <w:color w:val="000000" w:themeColor="text1"/>
        </w:rPr>
        <w:t>,</w:t>
      </w:r>
      <w:r w:rsidR="009C08A7">
        <w:rPr>
          <w:rFonts w:cs="Arial"/>
          <w:b/>
          <w:color w:val="000000" w:themeColor="text1"/>
        </w:rPr>
        <w:t>4</w:t>
      </w:r>
      <w:r w:rsidRPr="009C08A7">
        <w:rPr>
          <w:rFonts w:cs="Arial"/>
          <w:b/>
          <w:color w:val="000000" w:themeColor="text1"/>
        </w:rPr>
        <w:t xml:space="preserve"> dB</w:t>
      </w:r>
      <w:r w:rsidRPr="009C08A7">
        <w:rPr>
          <w:rFonts w:cs="Arial"/>
          <w:color w:val="000000" w:themeColor="text1"/>
        </w:rPr>
        <w:t>.</w:t>
      </w:r>
    </w:p>
    <w:p w:rsidR="00E61AF1" w:rsidRDefault="00E61AF1" w:rsidP="00A579A9">
      <w:pPr>
        <w:pStyle w:val="Zkladntext"/>
        <w:tabs>
          <w:tab w:val="left" w:pos="1021"/>
        </w:tabs>
        <w:jc w:val="both"/>
        <w:rPr>
          <w:sz w:val="24"/>
          <w:szCs w:val="24"/>
        </w:rPr>
      </w:pPr>
    </w:p>
    <w:p w:rsidR="005970CB" w:rsidRPr="000A1D40" w:rsidRDefault="005970CB" w:rsidP="005970CB">
      <w:pPr>
        <w:spacing w:before="120"/>
        <w:jc w:val="both"/>
        <w:rPr>
          <w:rFonts w:ascii="TimesNewRomanPS-ItalicMT" w:hAnsi="TimesNewRomanPS-ItalicMT" w:cs="TimesNewRomanPS-ItalicMT"/>
          <w:iCs/>
          <w:color w:val="000000"/>
        </w:rPr>
      </w:pPr>
      <w:r w:rsidRPr="000A1D40">
        <w:rPr>
          <w:rFonts w:ascii="TimesNewRomanPSMT" w:hAnsi="TimesNewRomanPSMT" w:cs="TimesNewRomanPSMT"/>
          <w:color w:val="000000"/>
        </w:rPr>
        <w:t xml:space="preserve">Pro hlukovou zátěž </w:t>
      </w:r>
      <w:r>
        <w:rPr>
          <w:rFonts w:ascii="TimesNewRomanPSMT" w:hAnsi="TimesNewRomanPSMT" w:cs="TimesNewRomanPSMT"/>
          <w:color w:val="000000"/>
        </w:rPr>
        <w:t>z</w:t>
      </w:r>
      <w:r w:rsidR="00CC4C49">
        <w:rPr>
          <w:rFonts w:ascii="TimesNewRomanPSMT" w:hAnsi="TimesNewRomanPSMT" w:cs="TimesNewRomanPSMT"/>
          <w:color w:val="000000"/>
        </w:rPr>
        <w:t xml:space="preserve"> obslužné</w:t>
      </w:r>
      <w:r>
        <w:rPr>
          <w:rFonts w:ascii="TimesNewRomanPSMT" w:hAnsi="TimesNewRomanPSMT" w:cs="TimesNewRomanPSMT"/>
          <w:color w:val="000000"/>
        </w:rPr>
        <w:t xml:space="preserve"> staveništní dopravy </w:t>
      </w:r>
      <w:r w:rsidR="00CC4C49">
        <w:rPr>
          <w:rFonts w:ascii="TimesNewRomanPSMT" w:hAnsi="TimesNewRomanPSMT" w:cs="TimesNewRomanPSMT"/>
          <w:color w:val="000000"/>
        </w:rPr>
        <w:t xml:space="preserve">po areálových komunikacích </w:t>
      </w:r>
      <w:r w:rsidRPr="000A1D40">
        <w:rPr>
          <w:rFonts w:ascii="TimesNewRomanPSMT" w:hAnsi="TimesNewRomanPSMT" w:cs="TimesNewRomanPSMT"/>
          <w:color w:val="000000"/>
        </w:rPr>
        <w:t xml:space="preserve">v chráněném venkovním prostoru </w:t>
      </w:r>
      <w:r>
        <w:rPr>
          <w:rFonts w:ascii="TimesNewRomanPSMT" w:hAnsi="TimesNewRomanPSMT" w:cs="TimesNewRomanPSMT"/>
          <w:color w:val="000000"/>
        </w:rPr>
        <w:t xml:space="preserve">staveb platí </w:t>
      </w:r>
      <w:r w:rsidRPr="000A1D40">
        <w:rPr>
          <w:rFonts w:ascii="TimesNewRomanPSMT" w:hAnsi="TimesNewRomanPSMT" w:cs="TimesNewRomanPSMT"/>
          <w:color w:val="000000"/>
        </w:rPr>
        <w:t>nejvyšší přípustn</w:t>
      </w:r>
      <w:r>
        <w:rPr>
          <w:rFonts w:ascii="TimesNewRomanPSMT" w:hAnsi="TimesNewRomanPSMT" w:cs="TimesNewRomanPSMT"/>
          <w:color w:val="000000"/>
        </w:rPr>
        <w:t>á</w:t>
      </w:r>
      <w:r w:rsidRPr="000A1D40">
        <w:rPr>
          <w:rFonts w:ascii="TimesNewRomanPSMT" w:hAnsi="TimesNewRomanPSMT" w:cs="TimesNewRomanPSMT"/>
          <w:color w:val="000000"/>
        </w:rPr>
        <w:t xml:space="preserve"> hodnot</w:t>
      </w:r>
      <w:r>
        <w:rPr>
          <w:rFonts w:ascii="TimesNewRomanPSMT" w:hAnsi="TimesNewRomanPSMT" w:cs="TimesNewRomanPSMT"/>
          <w:color w:val="000000"/>
        </w:rPr>
        <w:t>a</w:t>
      </w:r>
      <w:r w:rsidRPr="000A1D40">
        <w:rPr>
          <w:rFonts w:ascii="TimesNewRomanPSMT" w:hAnsi="TimesNewRomanPSMT" w:cs="TimesNewRomanPSMT"/>
          <w:color w:val="000000"/>
        </w:rPr>
        <w:t xml:space="preserve"> hladin</w:t>
      </w:r>
      <w:r>
        <w:rPr>
          <w:rFonts w:ascii="TimesNewRomanPSMT" w:hAnsi="TimesNewRomanPSMT" w:cs="TimesNewRomanPSMT"/>
          <w:color w:val="000000"/>
        </w:rPr>
        <w:t>y</w:t>
      </w:r>
      <w:r w:rsidRPr="000A1D40">
        <w:rPr>
          <w:rFonts w:ascii="TimesNewRomanPSMT" w:hAnsi="TimesNewRomanPSMT" w:cs="TimesNewRomanPSMT"/>
          <w:color w:val="000000"/>
        </w:rPr>
        <w:t xml:space="preserve"> akustického tlaku</w:t>
      </w:r>
      <w:r w:rsidRPr="000A1D40">
        <w:rPr>
          <w:color w:val="000000"/>
        </w:rPr>
        <w:t xml:space="preserve"> L</w:t>
      </w:r>
      <w:r w:rsidRPr="000A1D40">
        <w:rPr>
          <w:color w:val="000000"/>
          <w:vertAlign w:val="subscript"/>
        </w:rPr>
        <w:t>Aeq</w:t>
      </w:r>
      <w:r w:rsidRPr="000A1D40">
        <w:rPr>
          <w:color w:val="000000"/>
        </w:rPr>
        <w:t>,</w:t>
      </w:r>
      <w:r w:rsidRPr="000A1D40">
        <w:rPr>
          <w:color w:val="000000"/>
          <w:vertAlign w:val="subscript"/>
        </w:rPr>
        <w:t>T</w:t>
      </w:r>
      <w:r>
        <w:rPr>
          <w:color w:val="000000"/>
          <w:vertAlign w:val="subscript"/>
        </w:rPr>
        <w:t xml:space="preserve"> = </w:t>
      </w:r>
      <w:r w:rsidRPr="000A1D40">
        <w:rPr>
          <w:rFonts w:ascii="TimesNewRomanPS-ItalicMT" w:hAnsi="TimesNewRomanPS-ItalicMT" w:cs="TimesNewRomanPS-ItalicMT"/>
          <w:iCs/>
          <w:color w:val="000000"/>
        </w:rPr>
        <w:t>6</w:t>
      </w:r>
      <w:r>
        <w:rPr>
          <w:rFonts w:ascii="TimesNewRomanPS-ItalicMT" w:hAnsi="TimesNewRomanPS-ItalicMT" w:cs="TimesNewRomanPS-ItalicMT"/>
          <w:iCs/>
          <w:color w:val="000000"/>
        </w:rPr>
        <w:t xml:space="preserve">5 </w:t>
      </w:r>
      <w:r w:rsidRPr="000A1D40">
        <w:rPr>
          <w:rFonts w:ascii="TimesNewRomanPS-ItalicMT" w:hAnsi="TimesNewRomanPS-ItalicMT" w:cs="TimesNewRomanPS-ItalicMT"/>
          <w:iCs/>
          <w:color w:val="000000"/>
        </w:rPr>
        <w:t>dB(A) pro denní dobu</w:t>
      </w:r>
      <w:r>
        <w:rPr>
          <w:rFonts w:ascii="TimesNewRomanPS-ItalicMT" w:hAnsi="TimesNewRomanPS-ItalicMT" w:cs="TimesNewRomanPS-ItalicMT"/>
          <w:iCs/>
          <w:color w:val="000000"/>
        </w:rPr>
        <w:t xml:space="preserve"> </w:t>
      </w:r>
      <w:r w:rsidRPr="00FF1F6F">
        <w:rPr>
          <w:rFonts w:ascii="TimesNewRomanPS-ItalicMT" w:hAnsi="TimesNewRomanPS-ItalicMT" w:cs="TimesNewRomanPS-ItalicMT"/>
          <w:iCs/>
          <w:color w:val="000000"/>
        </w:rPr>
        <w:t>od 7:00 do 21:00</w:t>
      </w:r>
      <w:r>
        <w:rPr>
          <w:rFonts w:ascii="TimesNewRomanPS-ItalicMT" w:hAnsi="TimesNewRomanPS-ItalicMT" w:cs="TimesNewRomanPS-ItalicMT"/>
          <w:iCs/>
          <w:color w:val="000000"/>
        </w:rPr>
        <w:t xml:space="preserve"> hod.</w:t>
      </w:r>
    </w:p>
    <w:p w:rsidR="005970CB" w:rsidRDefault="005970CB" w:rsidP="00A579A9">
      <w:pPr>
        <w:pStyle w:val="Zkladntext"/>
        <w:tabs>
          <w:tab w:val="left" w:pos="1021"/>
        </w:tabs>
        <w:jc w:val="both"/>
        <w:rPr>
          <w:sz w:val="24"/>
          <w:szCs w:val="24"/>
        </w:rPr>
      </w:pPr>
    </w:p>
    <w:p w:rsidR="00290574" w:rsidRDefault="00290574" w:rsidP="00F760EF">
      <w:pPr>
        <w:jc w:val="both"/>
        <w:rPr>
          <w:rFonts w:ascii="TimesNewRomanPS-ItalicMT" w:hAnsi="TimesNewRomanPS-ItalicMT" w:cs="TimesNewRomanPS-ItalicMT"/>
          <w:iCs/>
        </w:rPr>
      </w:pPr>
      <w:r w:rsidRPr="005C392D">
        <w:rPr>
          <w:rFonts w:ascii="TimesNewRomanPS-ItalicMT" w:hAnsi="TimesNewRomanPS-ItalicMT" w:cs="TimesNewRomanPS-ItalicMT"/>
          <w:iCs/>
          <w:u w:val="single"/>
        </w:rPr>
        <w:t>Poznámka:</w:t>
      </w:r>
      <w:r>
        <w:rPr>
          <w:rFonts w:ascii="TimesNewRomanPS-ItalicMT" w:hAnsi="TimesNewRomanPS-ItalicMT" w:cs="TimesNewRomanPS-ItalicMT"/>
          <w:iCs/>
        </w:rPr>
        <w:t xml:space="preserve"> Konečné stanovení nejvyšších přípustných hodnot akustického tlaku pro chráněný venkovní </w:t>
      </w:r>
      <w:r w:rsidR="007A3D74">
        <w:rPr>
          <w:rFonts w:ascii="TimesNewRomanPS-ItalicMT" w:hAnsi="TimesNewRomanPS-ItalicMT" w:cs="TimesNewRomanPS-ItalicMT"/>
          <w:iCs/>
        </w:rPr>
        <w:t xml:space="preserve">a vnitřní </w:t>
      </w:r>
      <w:r>
        <w:rPr>
          <w:rFonts w:ascii="TimesNewRomanPS-ItalicMT" w:hAnsi="TimesNewRomanPS-ItalicMT" w:cs="TimesNewRomanPS-ItalicMT"/>
          <w:iCs/>
        </w:rPr>
        <w:t xml:space="preserve">prostor staveb, resp. použití korekcí akustického tlaku je plně v kompetenci příslušného orgánu ochrany veřejného zdraví. </w:t>
      </w:r>
    </w:p>
    <w:p w:rsidR="007B0158" w:rsidRDefault="007B0158" w:rsidP="00F760EF">
      <w:pPr>
        <w:jc w:val="both"/>
        <w:rPr>
          <w:rFonts w:ascii="TimesNewRomanPS-ItalicMT" w:hAnsi="TimesNewRomanPS-ItalicMT" w:cs="TimesNewRomanPS-ItalicMT"/>
          <w:iCs/>
        </w:rPr>
      </w:pPr>
    </w:p>
    <w:p w:rsidR="006805B6" w:rsidRPr="00FF58B0" w:rsidRDefault="006805B6" w:rsidP="006805B6">
      <w:pPr>
        <w:pStyle w:val="Nadpis1"/>
        <w:spacing w:before="120"/>
        <w:rPr>
          <w:rFonts w:ascii="Times New Roman" w:hAnsi="Times New Roman" w:cs="Times New Roman"/>
          <w:bCs w:val="0"/>
        </w:rPr>
      </w:pPr>
      <w:bookmarkStart w:id="35" w:name="_Toc275182539"/>
      <w:bookmarkStart w:id="36" w:name="_Toc410379007"/>
      <w:bookmarkStart w:id="37" w:name="_Toc140642855"/>
      <w:r>
        <w:rPr>
          <w:rFonts w:ascii="Times New Roman" w:hAnsi="Times New Roman" w:cs="Times New Roman"/>
          <w:bCs w:val="0"/>
        </w:rPr>
        <w:t>5</w:t>
      </w:r>
      <w:r w:rsidRPr="00FF58B0">
        <w:rPr>
          <w:rFonts w:ascii="Times New Roman" w:hAnsi="Times New Roman" w:cs="Times New Roman"/>
          <w:bCs w:val="0"/>
        </w:rPr>
        <w:t xml:space="preserve">. </w:t>
      </w:r>
      <w:r>
        <w:rPr>
          <w:rFonts w:ascii="Times New Roman" w:hAnsi="Times New Roman" w:cs="Times New Roman"/>
          <w:bCs w:val="0"/>
        </w:rPr>
        <w:t>Metodika v</w:t>
      </w:r>
      <w:r w:rsidRPr="00FF58B0">
        <w:rPr>
          <w:rFonts w:ascii="Times New Roman" w:hAnsi="Times New Roman" w:cs="Times New Roman"/>
          <w:bCs w:val="0"/>
        </w:rPr>
        <w:t>ýpočt</w:t>
      </w:r>
      <w:r>
        <w:rPr>
          <w:rFonts w:ascii="Times New Roman" w:hAnsi="Times New Roman" w:cs="Times New Roman"/>
          <w:bCs w:val="0"/>
        </w:rPr>
        <w:t>u</w:t>
      </w:r>
      <w:r w:rsidRPr="00FF58B0">
        <w:rPr>
          <w:rFonts w:ascii="Times New Roman" w:hAnsi="Times New Roman" w:cs="Times New Roman"/>
          <w:bCs w:val="0"/>
        </w:rPr>
        <w:t xml:space="preserve"> hlukového zatížení</w:t>
      </w:r>
      <w:bookmarkEnd w:id="35"/>
      <w:bookmarkEnd w:id="36"/>
      <w:r w:rsidRPr="00FF58B0">
        <w:rPr>
          <w:rFonts w:ascii="Times New Roman" w:hAnsi="Times New Roman" w:cs="Times New Roman"/>
          <w:bCs w:val="0"/>
        </w:rPr>
        <w:t xml:space="preserve"> </w:t>
      </w:r>
      <w:bookmarkEnd w:id="37"/>
    </w:p>
    <w:p w:rsidR="006805B6" w:rsidRDefault="006805B6" w:rsidP="006805B6">
      <w:pPr>
        <w:pStyle w:val="Zkltext"/>
        <w:spacing w:before="120"/>
        <w:ind w:firstLine="0"/>
      </w:pPr>
      <w:r>
        <w:t xml:space="preserve">Pro výpočet hlukové zátěže území byl použit výpočtový program HLUK+ verze </w:t>
      </w:r>
      <w:r w:rsidR="000A35B2">
        <w:t>9</w:t>
      </w:r>
      <w:r>
        <w:t xml:space="preserve">.19 </w:t>
      </w:r>
      <w:r w:rsidR="000A35B2">
        <w:t>profi</w:t>
      </w:r>
      <w:r>
        <w:t xml:space="preserve"> autorů RNDr. Miloše Liberka a Mgr. Jaroslava Poláška, který vychází z Metodického pokynu pro výpočet hluku z dopravy (VÚVA, 1991), resp. z Novely metodiky 1996, která umožňuje získávat přesnější údaje o hodnotách L</w:t>
      </w:r>
      <w:r>
        <w:rPr>
          <w:vertAlign w:val="subscript"/>
        </w:rPr>
        <w:t xml:space="preserve">Aeq </w:t>
      </w:r>
      <w:r>
        <w:t>ze silniční dopravy, dále zpřesnit korekci na odrazy akustické energie od zástavby, zpřesnění vlivu druhu krytu vozovky na hodnotu L</w:t>
      </w:r>
      <w:r>
        <w:rPr>
          <w:vertAlign w:val="subscript"/>
        </w:rPr>
        <w:t>Aeq</w:t>
      </w:r>
      <w:r>
        <w:t xml:space="preserve"> a dále zpřesnění výpočetního postupu pro křižovatky. A nově též z Novely metodiky 2004, která mimo jiné respektuje obměnu vozidlového parku z hlediska hlučnosti, rychlosti dopravního proudu, distribuci dopravy v denní a noční době, meteorologické podmínky, vliv odrazivých struktur atd., a tím významně zpřesňuje výpočet hluku ze silniční dopravy. </w:t>
      </w:r>
    </w:p>
    <w:p w:rsidR="00096B1D" w:rsidRDefault="006805B6" w:rsidP="006805B6">
      <w:pPr>
        <w:pStyle w:val="Zkltext"/>
        <w:spacing w:before="120" w:after="0"/>
        <w:ind w:firstLine="0"/>
      </w:pPr>
      <w:r>
        <w:t xml:space="preserve">Počítačový model HLUK+ verze </w:t>
      </w:r>
      <w:r w:rsidR="007C76E8">
        <w:t>9</w:t>
      </w:r>
      <w:r>
        <w:t xml:space="preserve">.19 </w:t>
      </w:r>
      <w:r w:rsidR="007C76E8">
        <w:t>profi</w:t>
      </w:r>
      <w:r>
        <w:t xml:space="preserve"> umožňuje na základě grafického zadání konkrétní situace, včetně dat nutných pro charakteristiku komunikace a dopravního proudu, vypočítat polohu charakteristických izofon L</w:t>
      </w:r>
      <w:r w:rsidRPr="00096B1D">
        <w:t>Aeq</w:t>
      </w:r>
      <w:r>
        <w:t xml:space="preserve"> a hladinu hluku v jednotlivých vybraných, tzv. výpočtových bodech. Model umožňuje simulaci podélného profilu trasy komunikací, včetně uvažovaných zářezů, násypů a přemostění a zohlednění jejich vlivu na šíření zvukových vln.</w:t>
      </w:r>
    </w:p>
    <w:p w:rsidR="00096B1D" w:rsidRDefault="006805B6" w:rsidP="00096B1D">
      <w:pPr>
        <w:pStyle w:val="Zkltext"/>
        <w:spacing w:before="120" w:after="0"/>
        <w:ind w:firstLine="0"/>
      </w:pPr>
      <w:r>
        <w:t xml:space="preserve">Vypočtené hladiny hluku jsou </w:t>
      </w:r>
      <w:r w:rsidRPr="00B81AEF">
        <w:t>posuzován</w:t>
      </w:r>
      <w:r>
        <w:t>y</w:t>
      </w:r>
      <w:r w:rsidRPr="00B81AEF">
        <w:t xml:space="preserve"> </w:t>
      </w:r>
      <w:r>
        <w:t>po</w:t>
      </w:r>
      <w:r w:rsidRPr="00B81AEF">
        <w:t xml:space="preserve">dle </w:t>
      </w:r>
      <w:r>
        <w:t>n</w:t>
      </w:r>
      <w:r w:rsidRPr="00B81AEF">
        <w:t xml:space="preserve">ařízení vlády č. </w:t>
      </w:r>
      <w:r w:rsidR="007C76E8">
        <w:t>272</w:t>
      </w:r>
      <w:r w:rsidRPr="00B81AEF">
        <w:t>/</w:t>
      </w:r>
      <w:r w:rsidR="007C76E8">
        <w:t>2011</w:t>
      </w:r>
      <w:r w:rsidRPr="00B81AEF">
        <w:t xml:space="preserve"> Sb., o ochraně zdraví před nepří</w:t>
      </w:r>
      <w:r>
        <w:t>znivými  účinky hluku a vibrací, které</w:t>
      </w:r>
      <w:r w:rsidRPr="00B81AEF">
        <w:t xml:space="preserve"> </w:t>
      </w:r>
      <w:r>
        <w:t>stanovuje</w:t>
      </w:r>
      <w:r w:rsidRPr="00B81AEF">
        <w:t xml:space="preserve"> hygienické imisní limity hluku a vibrací na pracovištích, ve stavbách pro bydlení, ve stavbách občanského vybavení a ve venkovním prostoru. </w:t>
      </w:r>
      <w:r w:rsidR="00096B1D">
        <w:t>P</w:t>
      </w:r>
      <w:r w:rsidR="00096B1D" w:rsidRPr="00096B1D">
        <w:t>ro porovnání hodnot</w:t>
      </w:r>
      <w:r w:rsidR="00096B1D">
        <w:t xml:space="preserve"> </w:t>
      </w:r>
      <w:r w:rsidR="00096B1D" w:rsidRPr="00096B1D">
        <w:t>s hygienickým limitem je v souladu s normou ČSN ISO 1996-2 a Metodickým</w:t>
      </w:r>
      <w:r w:rsidR="00096B1D">
        <w:t xml:space="preserve"> </w:t>
      </w:r>
      <w:r w:rsidR="00096B1D" w:rsidRPr="00096B1D">
        <w:t>návodem pro hodnocení hluku v chráněném venkovním prostoru staveb č. j.</w:t>
      </w:r>
      <w:r w:rsidR="00096B1D">
        <w:t xml:space="preserve"> </w:t>
      </w:r>
      <w:r w:rsidR="00096B1D" w:rsidRPr="00096B1D">
        <w:t>62545/2010-OVZ-32.3-1-11.2010 M</w:t>
      </w:r>
      <w:r w:rsidR="003959EA">
        <w:t xml:space="preserve">inisterstva zdravotnictví </w:t>
      </w:r>
      <w:r w:rsidR="00096B1D" w:rsidRPr="00096B1D">
        <w:t>ze dne 1. 11. 2010 hodnocen pouze dopadající</w:t>
      </w:r>
      <w:r w:rsidR="00096B1D">
        <w:t xml:space="preserve"> </w:t>
      </w:r>
      <w:r w:rsidR="00096B1D" w:rsidRPr="00096B1D">
        <w:t>hluk, tj. bez odrazu od přilehlé fasády.</w:t>
      </w:r>
      <w:r w:rsidR="00096B1D">
        <w:t xml:space="preserve"> </w:t>
      </w:r>
    </w:p>
    <w:p w:rsidR="006805B6" w:rsidRDefault="006805B6" w:rsidP="006805B6">
      <w:pPr>
        <w:pStyle w:val="Zkltext"/>
        <w:spacing w:before="120" w:after="0"/>
        <w:ind w:firstLine="0"/>
      </w:pPr>
    </w:p>
    <w:p w:rsidR="006805B6" w:rsidRPr="005667DA" w:rsidRDefault="00F47840" w:rsidP="006805B6">
      <w:pPr>
        <w:pStyle w:val="Nadpis2"/>
        <w:spacing w:before="120"/>
        <w:rPr>
          <w:rFonts w:ascii="Times New Roman" w:hAnsi="Times New Roman"/>
          <w:bCs w:val="0"/>
          <w:i w:val="0"/>
          <w:sz w:val="30"/>
        </w:rPr>
      </w:pPr>
      <w:bookmarkStart w:id="38" w:name="_Toc275182540"/>
      <w:bookmarkStart w:id="39" w:name="_Toc410379008"/>
      <w:r>
        <w:rPr>
          <w:rFonts w:ascii="Times New Roman" w:hAnsi="Times New Roman"/>
          <w:bCs w:val="0"/>
          <w:i w:val="0"/>
          <w:sz w:val="30"/>
          <w:szCs w:val="30"/>
        </w:rPr>
        <w:t>5</w:t>
      </w:r>
      <w:r w:rsidR="006805B6" w:rsidRPr="005667DA">
        <w:rPr>
          <w:rFonts w:ascii="Times New Roman" w:hAnsi="Times New Roman"/>
          <w:bCs w:val="0"/>
          <w:i w:val="0"/>
          <w:sz w:val="30"/>
          <w:szCs w:val="30"/>
        </w:rPr>
        <w:t>.1</w:t>
      </w:r>
      <w:r w:rsidR="006805B6">
        <w:rPr>
          <w:rFonts w:ascii="Times New Roman" w:hAnsi="Times New Roman"/>
          <w:bCs w:val="0"/>
          <w:i w:val="0"/>
          <w:sz w:val="30"/>
        </w:rPr>
        <w:t>.</w:t>
      </w:r>
      <w:r w:rsidR="006805B6" w:rsidRPr="005667DA">
        <w:rPr>
          <w:rFonts w:ascii="Times New Roman" w:hAnsi="Times New Roman"/>
          <w:bCs w:val="0"/>
          <w:i w:val="0"/>
          <w:sz w:val="30"/>
        </w:rPr>
        <w:t xml:space="preserve"> Omezení modelu a nejistoty výpočtu hlukového zatížení</w:t>
      </w:r>
      <w:bookmarkEnd w:id="38"/>
      <w:bookmarkEnd w:id="39"/>
      <w:r w:rsidR="006805B6" w:rsidRPr="005667DA">
        <w:rPr>
          <w:rFonts w:ascii="Times New Roman" w:hAnsi="Times New Roman"/>
          <w:bCs w:val="0"/>
          <w:i w:val="0"/>
          <w:sz w:val="30"/>
        </w:rPr>
        <w:t xml:space="preserve"> </w:t>
      </w:r>
    </w:p>
    <w:p w:rsidR="006805B6" w:rsidRPr="00991FEF" w:rsidRDefault="006805B6" w:rsidP="006805B6">
      <w:pPr>
        <w:pStyle w:val="Znaka1"/>
        <w:numPr>
          <w:ilvl w:val="0"/>
          <w:numId w:val="0"/>
        </w:numPr>
        <w:spacing w:before="0" w:after="40"/>
        <w:ind w:right="284"/>
        <w:rPr>
          <w:rFonts w:eastAsia="Arial Unicode MS"/>
          <w:sz w:val="12"/>
          <w:szCs w:val="12"/>
        </w:rPr>
      </w:pPr>
    </w:p>
    <w:p w:rsidR="006805B6" w:rsidRPr="00B2600B" w:rsidRDefault="006805B6" w:rsidP="006805B6">
      <w:pPr>
        <w:pStyle w:val="Znaka1"/>
        <w:numPr>
          <w:ilvl w:val="0"/>
          <w:numId w:val="0"/>
        </w:numPr>
        <w:spacing w:before="0" w:after="40"/>
        <w:ind w:right="284"/>
        <w:rPr>
          <w:rFonts w:eastAsia="Arial Unicode MS"/>
          <w:szCs w:val="24"/>
        </w:rPr>
      </w:pPr>
      <w:r w:rsidRPr="00B2600B">
        <w:rPr>
          <w:rFonts w:eastAsia="Arial Unicode MS"/>
          <w:szCs w:val="24"/>
        </w:rPr>
        <w:t>V rámci provedených modelových výpočtu je možno uvažovat následující omezení či nejistoty:</w:t>
      </w:r>
    </w:p>
    <w:p w:rsidR="006805B6" w:rsidRPr="008D3328" w:rsidRDefault="006805B6" w:rsidP="006805B6">
      <w:pPr>
        <w:pStyle w:val="Znaka1"/>
        <w:numPr>
          <w:ilvl w:val="0"/>
          <w:numId w:val="0"/>
        </w:numPr>
        <w:spacing w:before="40" w:after="40"/>
        <w:ind w:right="284"/>
        <w:rPr>
          <w:rFonts w:eastAsia="Arial Unicode MS"/>
          <w:sz w:val="4"/>
          <w:szCs w:val="4"/>
        </w:rPr>
      </w:pPr>
    </w:p>
    <w:p w:rsidR="006805B6" w:rsidRPr="008A068C" w:rsidRDefault="006805B6" w:rsidP="006805B6">
      <w:pPr>
        <w:pStyle w:val="Znaka1"/>
        <w:numPr>
          <w:ilvl w:val="0"/>
          <w:numId w:val="3"/>
        </w:numPr>
        <w:tabs>
          <w:tab w:val="clear" w:pos="720"/>
          <w:tab w:val="num" w:pos="567"/>
        </w:tabs>
        <w:spacing w:before="40" w:after="40"/>
        <w:ind w:left="567" w:right="284" w:hanging="425"/>
        <w:rPr>
          <w:rFonts w:eastAsia="Arial Unicode MS"/>
          <w:color w:val="000000"/>
        </w:rPr>
      </w:pPr>
      <w:r>
        <w:rPr>
          <w:rFonts w:eastAsia="Arial Unicode MS"/>
          <w:color w:val="000000"/>
        </w:rPr>
        <w:t xml:space="preserve">Výpočtová metodika nerozlišuje </w:t>
      </w:r>
      <w:r w:rsidRPr="00ED64F9">
        <w:rPr>
          <w:rFonts w:eastAsia="Arial Unicode MS"/>
          <w:color w:val="000000"/>
          <w:szCs w:val="24"/>
        </w:rPr>
        <w:t>mezi lehkými a těžkými nákladními vozidly</w:t>
      </w:r>
      <w:r>
        <w:rPr>
          <w:rFonts w:eastAsia="Arial Unicode MS"/>
          <w:color w:val="000000"/>
          <w:szCs w:val="24"/>
        </w:rPr>
        <w:t>. Všechna nákladní vozidla byla tedy zadávána jako těžká a výpočet hluku je v tomto směru na straně bezpečnosti.</w:t>
      </w:r>
    </w:p>
    <w:p w:rsidR="00283CE0" w:rsidRDefault="006805B6" w:rsidP="006805B6">
      <w:pPr>
        <w:pStyle w:val="Znaka1"/>
        <w:numPr>
          <w:ilvl w:val="0"/>
          <w:numId w:val="3"/>
        </w:numPr>
        <w:tabs>
          <w:tab w:val="clear" w:pos="720"/>
          <w:tab w:val="num" w:pos="567"/>
        </w:tabs>
        <w:spacing w:before="40" w:after="40"/>
        <w:ind w:left="567" w:right="284" w:hanging="425"/>
        <w:rPr>
          <w:rFonts w:eastAsia="Arial Unicode MS"/>
          <w:color w:val="000000"/>
          <w:szCs w:val="24"/>
        </w:rPr>
      </w:pPr>
      <w:r w:rsidRPr="006A044F">
        <w:rPr>
          <w:rFonts w:eastAsia="Arial Unicode MS"/>
          <w:color w:val="000000"/>
          <w:szCs w:val="24"/>
        </w:rPr>
        <w:t xml:space="preserve">Nejistoty spojené s modelováním </w:t>
      </w:r>
      <w:r>
        <w:rPr>
          <w:rFonts w:eastAsia="Arial Unicode MS"/>
          <w:color w:val="000000"/>
          <w:szCs w:val="24"/>
        </w:rPr>
        <w:t>akustické</w:t>
      </w:r>
      <w:r w:rsidRPr="006A044F">
        <w:rPr>
          <w:rFonts w:eastAsia="Arial Unicode MS"/>
          <w:color w:val="000000"/>
          <w:szCs w:val="24"/>
        </w:rPr>
        <w:t xml:space="preserve"> zátěže ze stavebních činností vzhledem k tomu, že zpracovatel </w:t>
      </w:r>
      <w:r>
        <w:rPr>
          <w:rFonts w:eastAsia="Arial Unicode MS"/>
          <w:color w:val="000000"/>
          <w:szCs w:val="24"/>
        </w:rPr>
        <w:t>hlukové</w:t>
      </w:r>
      <w:r w:rsidRPr="006A044F">
        <w:rPr>
          <w:rFonts w:eastAsia="Arial Unicode MS"/>
          <w:color w:val="000000"/>
          <w:szCs w:val="24"/>
        </w:rPr>
        <w:t xml:space="preserve"> studie vychází z </w:t>
      </w:r>
      <w:r w:rsidRPr="007D223A">
        <w:rPr>
          <w:rFonts w:eastAsia="Arial Unicode MS"/>
          <w:color w:val="000000"/>
          <w:szCs w:val="24"/>
        </w:rPr>
        <w:t>předpokládané</w:t>
      </w:r>
      <w:r w:rsidRPr="006A044F">
        <w:rPr>
          <w:rFonts w:eastAsia="Arial Unicode MS"/>
          <w:color w:val="000000"/>
          <w:szCs w:val="24"/>
        </w:rPr>
        <w:t xml:space="preserve"> intenzity nasazení </w:t>
      </w:r>
      <w:r w:rsidR="00982AD2">
        <w:rPr>
          <w:rFonts w:eastAsia="Arial Unicode MS"/>
          <w:color w:val="000000"/>
          <w:szCs w:val="24"/>
        </w:rPr>
        <w:t xml:space="preserve">a autistického výkonu </w:t>
      </w:r>
      <w:r w:rsidRPr="006A044F">
        <w:rPr>
          <w:rFonts w:eastAsia="Arial Unicode MS"/>
          <w:color w:val="000000"/>
          <w:szCs w:val="24"/>
        </w:rPr>
        <w:t xml:space="preserve">obvyklých stavebních mechanismů </w:t>
      </w:r>
      <w:r w:rsidR="00982AD2">
        <w:rPr>
          <w:rFonts w:eastAsia="Arial Unicode MS"/>
          <w:color w:val="000000"/>
          <w:szCs w:val="24"/>
        </w:rPr>
        <w:t xml:space="preserve">vycházejících </w:t>
      </w:r>
      <w:r>
        <w:rPr>
          <w:rFonts w:eastAsia="Arial Unicode MS"/>
          <w:color w:val="000000"/>
          <w:szCs w:val="24"/>
        </w:rPr>
        <w:t xml:space="preserve">z návrhu </w:t>
      </w:r>
      <w:r w:rsidR="00982AD2">
        <w:rPr>
          <w:rFonts w:eastAsia="Arial Unicode MS"/>
          <w:color w:val="000000"/>
          <w:szCs w:val="24"/>
        </w:rPr>
        <w:t>P</w:t>
      </w:r>
      <w:r>
        <w:rPr>
          <w:rFonts w:eastAsia="Arial Unicode MS"/>
          <w:color w:val="000000"/>
          <w:szCs w:val="24"/>
        </w:rPr>
        <w:t>OV</w:t>
      </w:r>
    </w:p>
    <w:p w:rsidR="006805B6" w:rsidRPr="005577AA" w:rsidRDefault="00982AD2" w:rsidP="006805B6">
      <w:pPr>
        <w:pStyle w:val="Znaka1"/>
        <w:numPr>
          <w:ilvl w:val="0"/>
          <w:numId w:val="3"/>
        </w:numPr>
        <w:tabs>
          <w:tab w:val="clear" w:pos="720"/>
          <w:tab w:val="num" w:pos="567"/>
        </w:tabs>
        <w:spacing w:before="40" w:after="40"/>
        <w:ind w:left="567" w:right="284" w:hanging="425"/>
        <w:rPr>
          <w:rFonts w:eastAsia="Arial Unicode MS"/>
          <w:color w:val="000000"/>
          <w:szCs w:val="24"/>
        </w:rPr>
      </w:pPr>
      <w:r>
        <w:rPr>
          <w:rFonts w:eastAsia="Arial Unicode MS"/>
          <w:color w:val="000000"/>
          <w:szCs w:val="24"/>
        </w:rPr>
        <w:t>konkrétní typy a parametry použitých mechanismů v rámci stavby záleží na dodavateli stavby</w:t>
      </w:r>
      <w:r w:rsidR="006805B6">
        <w:rPr>
          <w:rFonts w:eastAsia="Arial Unicode MS"/>
          <w:color w:val="000000"/>
          <w:szCs w:val="24"/>
        </w:rPr>
        <w:t xml:space="preserve">. Zároveň </w:t>
      </w:r>
      <w:r w:rsidR="006805B6" w:rsidRPr="00BB7D54">
        <w:rPr>
          <w:color w:val="000000"/>
        </w:rPr>
        <w:t xml:space="preserve">je uplatněn konzervativní přístup, který </w:t>
      </w:r>
      <w:r w:rsidR="006805B6">
        <w:rPr>
          <w:color w:val="000000"/>
        </w:rPr>
        <w:t>v souvislosti s hlukovou zátěží z výstavby</w:t>
      </w:r>
      <w:r w:rsidR="006805B6" w:rsidRPr="00BB7D54">
        <w:rPr>
          <w:color w:val="000000"/>
        </w:rPr>
        <w:t xml:space="preserve"> uvažuje nejnepříznivější možný stav</w:t>
      </w:r>
      <w:r w:rsidR="006805B6">
        <w:rPr>
          <w:color w:val="000000"/>
        </w:rPr>
        <w:t xml:space="preserve">, tj. současný provoz všech uvažovaných mechanismů a maximální frekvenci obslužné dopravy. </w:t>
      </w:r>
    </w:p>
    <w:p w:rsidR="006805B6" w:rsidRDefault="006805B6" w:rsidP="006805B6">
      <w:pPr>
        <w:pStyle w:val="Znaka1"/>
        <w:numPr>
          <w:ilvl w:val="0"/>
          <w:numId w:val="3"/>
        </w:numPr>
        <w:tabs>
          <w:tab w:val="clear" w:pos="720"/>
          <w:tab w:val="num" w:pos="567"/>
        </w:tabs>
        <w:spacing w:before="40" w:after="40"/>
        <w:ind w:left="567" w:right="284" w:hanging="425"/>
        <w:rPr>
          <w:rFonts w:eastAsia="Arial Unicode MS"/>
        </w:rPr>
      </w:pPr>
      <w:r w:rsidRPr="00B2600B">
        <w:rPr>
          <w:rFonts w:eastAsia="Arial Unicode MS"/>
        </w:rPr>
        <w:t xml:space="preserve">Nejistoty spojené s parametrizací modelu a výpočtem akustické situace v programu HLUK+ verze </w:t>
      </w:r>
      <w:r w:rsidR="00982AD2">
        <w:rPr>
          <w:rFonts w:eastAsia="Arial Unicode MS"/>
        </w:rPr>
        <w:t>9</w:t>
      </w:r>
      <w:r>
        <w:rPr>
          <w:rFonts w:eastAsia="Arial Unicode MS"/>
        </w:rPr>
        <w:t>.19 normal</w:t>
      </w:r>
      <w:r w:rsidRPr="00B2600B">
        <w:rPr>
          <w:rFonts w:eastAsia="Arial Unicode MS"/>
        </w:rPr>
        <w:t>.</w:t>
      </w:r>
    </w:p>
    <w:p w:rsidR="006805B6" w:rsidRPr="008505C1" w:rsidRDefault="006805B6" w:rsidP="006805B6">
      <w:pPr>
        <w:pStyle w:val="Znaka1"/>
        <w:numPr>
          <w:ilvl w:val="0"/>
          <w:numId w:val="3"/>
        </w:numPr>
        <w:tabs>
          <w:tab w:val="clear" w:pos="720"/>
          <w:tab w:val="num" w:pos="567"/>
        </w:tabs>
        <w:spacing w:before="40" w:after="40"/>
        <w:ind w:left="567" w:right="284" w:hanging="425"/>
        <w:rPr>
          <w:rFonts w:eastAsia="Arial Unicode MS"/>
          <w:color w:val="000000"/>
        </w:rPr>
      </w:pPr>
      <w:r w:rsidRPr="008505C1">
        <w:rPr>
          <w:rFonts w:eastAsia="Arial Unicode MS"/>
          <w:color w:val="000000"/>
        </w:rPr>
        <w:t xml:space="preserve">Dle sdělení spoluautora Metodického pokynu pro výpočet hluku z dopravy a současně spoluautora výpočtového programu HLUK+, RNDr. Miloše Liberka, činí přesnost modelu </w:t>
      </w:r>
      <w:r w:rsidRPr="00ED64F9">
        <w:rPr>
          <w:rFonts w:eastAsia="Arial Unicode MS"/>
          <w:color w:val="000000"/>
        </w:rPr>
        <w:t>HLUK+</w:t>
      </w:r>
      <w:r>
        <w:rPr>
          <w:rFonts w:eastAsia="Arial Unicode MS"/>
          <w:color w:val="000000"/>
        </w:rPr>
        <w:t xml:space="preserve"> </w:t>
      </w:r>
      <w:r w:rsidRPr="008505C1">
        <w:rPr>
          <w:rFonts w:eastAsia="Arial Unicode MS"/>
          <w:color w:val="000000"/>
        </w:rPr>
        <w:t xml:space="preserve">±2dB. Hodnoty ekvivalentní hladiny akustického tlaku </w:t>
      </w:r>
      <w:r w:rsidR="00982AD2">
        <w:rPr>
          <w:rFonts w:eastAsia="Arial Unicode MS"/>
          <w:color w:val="000000"/>
        </w:rPr>
        <w:t>65</w:t>
      </w:r>
      <w:r w:rsidRPr="008505C1">
        <w:rPr>
          <w:rFonts w:eastAsia="Arial Unicode MS"/>
          <w:color w:val="000000"/>
        </w:rPr>
        <w:t xml:space="preserve"> ± 2 dB(A) se tedy pohybují v oblasti nejistoty </w:t>
      </w:r>
      <w:r>
        <w:rPr>
          <w:rFonts w:eastAsia="Arial Unicode MS"/>
          <w:color w:val="000000"/>
        </w:rPr>
        <w:t xml:space="preserve">modelu </w:t>
      </w:r>
      <w:r w:rsidRPr="008505C1">
        <w:rPr>
          <w:rFonts w:eastAsia="Arial Unicode MS"/>
          <w:color w:val="000000"/>
        </w:rPr>
        <w:t>a nemusí znamenat prokazatelné překročení či dodržení hygienick</w:t>
      </w:r>
      <w:r w:rsidR="00982AD2">
        <w:rPr>
          <w:rFonts w:eastAsia="Arial Unicode MS"/>
          <w:color w:val="000000"/>
        </w:rPr>
        <w:t xml:space="preserve">ého </w:t>
      </w:r>
      <w:r w:rsidRPr="008505C1">
        <w:rPr>
          <w:rFonts w:eastAsia="Arial Unicode MS"/>
          <w:color w:val="000000"/>
        </w:rPr>
        <w:t>limit</w:t>
      </w:r>
      <w:r w:rsidR="00982AD2">
        <w:rPr>
          <w:rFonts w:eastAsia="Arial Unicode MS"/>
          <w:color w:val="000000"/>
        </w:rPr>
        <w:t>u</w:t>
      </w:r>
      <w:r w:rsidRPr="008505C1">
        <w:rPr>
          <w:rFonts w:eastAsia="Arial Unicode MS"/>
          <w:color w:val="000000"/>
        </w:rPr>
        <w:t xml:space="preserve"> hluku pro chráněný venkovní prostor staveb.  </w:t>
      </w:r>
    </w:p>
    <w:p w:rsidR="006805B6" w:rsidRDefault="006805B6" w:rsidP="006805B6">
      <w:pPr>
        <w:pStyle w:val="Znaka1"/>
        <w:numPr>
          <w:ilvl w:val="0"/>
          <w:numId w:val="3"/>
        </w:numPr>
        <w:tabs>
          <w:tab w:val="clear" w:pos="720"/>
          <w:tab w:val="num" w:pos="567"/>
        </w:tabs>
        <w:spacing w:before="40" w:after="40"/>
        <w:ind w:left="567" w:right="284" w:hanging="425"/>
        <w:rPr>
          <w:rFonts w:eastAsia="Arial Unicode MS"/>
        </w:rPr>
      </w:pPr>
      <w:r w:rsidRPr="00B2600B">
        <w:rPr>
          <w:rFonts w:eastAsia="Arial Unicode MS"/>
        </w:rPr>
        <w:t xml:space="preserve">Veškeré vypočtené hladiny hluku jsou pouze modelovým přiblížením k hodnotám skutečným.  </w:t>
      </w:r>
    </w:p>
    <w:p w:rsidR="006805B6" w:rsidRDefault="006805B6" w:rsidP="00F760EF">
      <w:pPr>
        <w:jc w:val="both"/>
        <w:rPr>
          <w:rFonts w:ascii="TimesNewRomanPS-ItalicMT" w:hAnsi="TimesNewRomanPS-ItalicMT" w:cs="TimesNewRomanPS-ItalicMT"/>
          <w:iCs/>
        </w:rPr>
      </w:pPr>
    </w:p>
    <w:p w:rsidR="00804BC6" w:rsidRPr="00141620" w:rsidRDefault="00F47840" w:rsidP="00141620">
      <w:pPr>
        <w:pStyle w:val="Nadpis1"/>
        <w:spacing w:before="120"/>
        <w:rPr>
          <w:rFonts w:ascii="Times New Roman" w:hAnsi="Times New Roman" w:cs="Times New Roman"/>
          <w:bCs w:val="0"/>
          <w:color w:val="000000"/>
        </w:rPr>
      </w:pPr>
      <w:bookmarkStart w:id="40" w:name="_Toc410379009"/>
      <w:bookmarkStart w:id="41" w:name="_Toc395948047"/>
      <w:bookmarkStart w:id="42" w:name="_Toc406987092"/>
      <w:bookmarkStart w:id="43" w:name="_Toc408804458"/>
      <w:bookmarkStart w:id="44" w:name="_Toc408891620"/>
      <w:r w:rsidRPr="00141620">
        <w:rPr>
          <w:rFonts w:ascii="Times New Roman" w:hAnsi="Times New Roman" w:cs="Times New Roman"/>
          <w:bCs w:val="0"/>
          <w:color w:val="000000"/>
        </w:rPr>
        <w:t>6</w:t>
      </w:r>
      <w:r w:rsidR="00804BC6" w:rsidRPr="00141620">
        <w:rPr>
          <w:rFonts w:ascii="Times New Roman" w:hAnsi="Times New Roman" w:cs="Times New Roman"/>
          <w:bCs w:val="0"/>
          <w:color w:val="000000"/>
        </w:rPr>
        <w:t xml:space="preserve"> Umístění výpočtových bodů</w:t>
      </w:r>
      <w:bookmarkEnd w:id="40"/>
    </w:p>
    <w:bookmarkEnd w:id="41"/>
    <w:bookmarkEnd w:id="42"/>
    <w:bookmarkEnd w:id="43"/>
    <w:bookmarkEnd w:id="44"/>
    <w:p w:rsidR="00804BC6" w:rsidRPr="00061847" w:rsidRDefault="00804BC6" w:rsidP="00804BC6">
      <w:pPr>
        <w:pStyle w:val="Zkltext"/>
        <w:spacing w:before="120"/>
        <w:ind w:firstLine="0"/>
      </w:pPr>
      <w:r>
        <w:t xml:space="preserve">Pro kvantitativní posouzení akustické situace v chráněném venkovním prostoru staveb v okolí rekonstruovaného objektu bylo </w:t>
      </w:r>
      <w:r w:rsidRPr="003177EF">
        <w:t xml:space="preserve">vybráno </w:t>
      </w:r>
      <w:r w:rsidR="003177EF" w:rsidRPr="003177EF">
        <w:t>16</w:t>
      </w:r>
      <w:r w:rsidRPr="003177EF">
        <w:t xml:space="preserve"> výpočtových bodů. Tyto</w:t>
      </w:r>
      <w:r>
        <w:t xml:space="preserve"> body byly dle platné metodiky umístěny </w:t>
      </w:r>
      <w:smartTag w:uri="urn:schemas-microsoft-com:office:smarttags" w:element="metricconverter">
        <w:smartTagPr>
          <w:attr w:name="ProductID" w:val="2 m"/>
        </w:smartTagPr>
        <w:r>
          <w:t>2 m</w:t>
        </w:r>
      </w:smartTag>
      <w:r>
        <w:t xml:space="preserve"> od fasády chráněných objektů ve výšce jednotlivých pater. Rozmístění výpočtových bodů je zřejmé z</w:t>
      </w:r>
      <w:r w:rsidR="007B0158">
        <w:t> </w:t>
      </w:r>
      <w:r>
        <w:t>grafick</w:t>
      </w:r>
      <w:r w:rsidR="007B0158">
        <w:t xml:space="preserve">ých </w:t>
      </w:r>
      <w:r>
        <w:t xml:space="preserve">příloh této </w:t>
      </w:r>
      <w:r w:rsidRPr="0005083E">
        <w:rPr>
          <w:color w:val="000000"/>
        </w:rPr>
        <w:t>studie a</w:t>
      </w:r>
      <w:r>
        <w:rPr>
          <w:color w:val="000000"/>
        </w:rPr>
        <w:t xml:space="preserve"> z následující tabulky</w:t>
      </w:r>
      <w:r w:rsidR="007B0158">
        <w:rPr>
          <w:color w:val="000000"/>
        </w:rPr>
        <w:t xml:space="preserve"> a obrázku</w:t>
      </w:r>
      <w:r w:rsidRPr="0005083E">
        <w:rPr>
          <w:color w:val="000000"/>
        </w:rPr>
        <w:t xml:space="preserve">. </w:t>
      </w:r>
      <w:r w:rsidRPr="00641E80">
        <w:rPr>
          <w:color w:val="000000"/>
        </w:rPr>
        <w:t xml:space="preserve">V uvedených výpočtových bodech byly vypočteny ekvivalentní hladiny akustického tlaku, jejichž hodnoty jsou prezentovány v rámci následujících kapitol. </w:t>
      </w:r>
    </w:p>
    <w:p w:rsidR="00804BC6" w:rsidRDefault="00804BC6" w:rsidP="00804BC6">
      <w:pPr>
        <w:pStyle w:val="Zkltext"/>
        <w:spacing w:before="0"/>
        <w:ind w:firstLine="709"/>
        <w:rPr>
          <w:b/>
          <w:sz w:val="16"/>
          <w:szCs w:val="16"/>
        </w:rPr>
      </w:pPr>
    </w:p>
    <w:p w:rsidR="00804BC6" w:rsidRPr="00666B93" w:rsidRDefault="00804BC6" w:rsidP="003177EF">
      <w:pPr>
        <w:pStyle w:val="Tabulka"/>
        <w:spacing w:before="0" w:after="60"/>
        <w:jc w:val="left"/>
        <w:rPr>
          <w:color w:val="000000"/>
        </w:rPr>
      </w:pPr>
      <w:r w:rsidRPr="00666B93">
        <w:rPr>
          <w:color w:val="000000"/>
        </w:rPr>
        <w:t xml:space="preserve">Tabulka </w:t>
      </w:r>
      <w:r w:rsidR="00953BF8">
        <w:rPr>
          <w:color w:val="000000"/>
        </w:rPr>
        <w:t>2</w:t>
      </w:r>
      <w:r w:rsidRPr="00666B93">
        <w:rPr>
          <w:color w:val="000000"/>
        </w:rPr>
        <w:t xml:space="preserve"> – Umístění výpočtových bodů v okolí </w:t>
      </w:r>
      <w:r>
        <w:rPr>
          <w:color w:val="000000"/>
        </w:rPr>
        <w:t>rekonstruovaného objektu</w:t>
      </w:r>
      <w:r w:rsidRPr="00666B93">
        <w:rPr>
          <w:color w:val="000000"/>
        </w:rPr>
        <w:t xml:space="preserve">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82"/>
        <w:gridCol w:w="1115"/>
        <w:gridCol w:w="1417"/>
        <w:gridCol w:w="2509"/>
      </w:tblGrid>
      <w:tr w:rsidR="005E39C1" w:rsidRPr="00666B93" w:rsidTr="007B0158">
        <w:trPr>
          <w:tblHeader/>
        </w:trPr>
        <w:tc>
          <w:tcPr>
            <w:tcW w:w="108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FF00" w:fill="auto"/>
            <w:vAlign w:val="center"/>
          </w:tcPr>
          <w:p w:rsidR="005E39C1" w:rsidRPr="007B0158" w:rsidRDefault="005E39C1" w:rsidP="00E43E63">
            <w:pPr>
              <w:spacing w:before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0158">
              <w:rPr>
                <w:b/>
                <w:bCs/>
                <w:color w:val="000000" w:themeColor="text1"/>
                <w:sz w:val="22"/>
                <w:szCs w:val="22"/>
              </w:rPr>
              <w:t>Bod č.</w:t>
            </w:r>
          </w:p>
        </w:tc>
        <w:tc>
          <w:tcPr>
            <w:tcW w:w="1115" w:type="dxa"/>
            <w:tcBorders>
              <w:top w:val="single" w:sz="12" w:space="0" w:color="auto"/>
              <w:bottom w:val="single" w:sz="12" w:space="0" w:color="auto"/>
            </w:tcBorders>
            <w:shd w:val="clear" w:color="00FF00" w:fill="auto"/>
          </w:tcPr>
          <w:p w:rsidR="005E39C1" w:rsidRPr="007B0158" w:rsidRDefault="005E39C1" w:rsidP="003177EF">
            <w:pPr>
              <w:spacing w:before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0158">
              <w:rPr>
                <w:b/>
                <w:bCs/>
                <w:color w:val="000000" w:themeColor="text1"/>
                <w:sz w:val="22"/>
                <w:szCs w:val="22"/>
              </w:rPr>
              <w:t>počet NP</w:t>
            </w:r>
          </w:p>
        </w:tc>
        <w:tc>
          <w:tcPr>
            <w:tcW w:w="1417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00FF00" w:fill="auto"/>
          </w:tcPr>
          <w:p w:rsidR="005E39C1" w:rsidRPr="007B0158" w:rsidRDefault="005E39C1" w:rsidP="003177EF">
            <w:pPr>
              <w:spacing w:before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 w:rsidRPr="007B0158">
              <w:rPr>
                <w:b/>
                <w:bCs/>
                <w:color w:val="000000" w:themeColor="text1"/>
                <w:sz w:val="22"/>
                <w:szCs w:val="22"/>
              </w:rPr>
              <w:t>typ objektu</w:t>
            </w:r>
          </w:p>
        </w:tc>
        <w:tc>
          <w:tcPr>
            <w:tcW w:w="250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00FF00" w:fill="auto"/>
            <w:vAlign w:val="center"/>
          </w:tcPr>
          <w:p w:rsidR="005E39C1" w:rsidRPr="007B0158" w:rsidRDefault="007B0158" w:rsidP="003177EF">
            <w:pPr>
              <w:spacing w:before="120"/>
              <w:jc w:val="center"/>
              <w:rPr>
                <w:b/>
                <w:bCs/>
                <w:color w:val="000000" w:themeColor="text1"/>
                <w:sz w:val="22"/>
                <w:szCs w:val="22"/>
              </w:rPr>
            </w:pPr>
            <w:r>
              <w:rPr>
                <w:b/>
                <w:bCs/>
                <w:color w:val="000000" w:themeColor="text1"/>
                <w:sz w:val="22"/>
                <w:szCs w:val="22"/>
              </w:rPr>
              <w:t>adresa</w:t>
            </w:r>
          </w:p>
        </w:tc>
      </w:tr>
      <w:tr w:rsidR="005E39C1" w:rsidRPr="00666B93" w:rsidTr="007B0158">
        <w:tc>
          <w:tcPr>
            <w:tcW w:w="1082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5E39C1" w:rsidRPr="00666B93" w:rsidRDefault="005E39C1" w:rsidP="00E43E63">
            <w:pPr>
              <w:spacing w:before="12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1 - 4</w:t>
            </w:r>
          </w:p>
        </w:tc>
        <w:tc>
          <w:tcPr>
            <w:tcW w:w="1115" w:type="dxa"/>
            <w:tcBorders>
              <w:top w:val="single" w:sz="12" w:space="0" w:color="auto"/>
            </w:tcBorders>
          </w:tcPr>
          <w:p w:rsidR="005E39C1" w:rsidRPr="00666B93" w:rsidRDefault="007B0158" w:rsidP="003177EF">
            <w:pPr>
              <w:spacing w:before="120" w:line="240" w:lineRule="atLeast"/>
              <w:ind w:right="-77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</w:tcPr>
          <w:p w:rsidR="005E39C1" w:rsidRPr="00666B93" w:rsidRDefault="007B0158" w:rsidP="003177EF">
            <w:pPr>
              <w:spacing w:before="120" w:line="240" w:lineRule="atLeast"/>
              <w:ind w:right="-779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bytový dům</w:t>
            </w:r>
          </w:p>
        </w:tc>
        <w:tc>
          <w:tcPr>
            <w:tcW w:w="2509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:rsidR="005E39C1" w:rsidRPr="00666B93" w:rsidRDefault="005E39C1" w:rsidP="003177EF">
            <w:pPr>
              <w:spacing w:before="120" w:line="240" w:lineRule="atLeast"/>
              <w:ind w:right="-779"/>
              <w:rPr>
                <w:color w:val="000000"/>
                <w:sz w:val="22"/>
                <w:szCs w:val="22"/>
              </w:rPr>
            </w:pPr>
            <w:r w:rsidRPr="00666B93">
              <w:rPr>
                <w:color w:val="000000"/>
                <w:sz w:val="22"/>
                <w:szCs w:val="22"/>
              </w:rPr>
              <w:t xml:space="preserve"> ul. </w:t>
            </w:r>
            <w:r>
              <w:rPr>
                <w:color w:val="000000"/>
                <w:sz w:val="22"/>
                <w:szCs w:val="22"/>
              </w:rPr>
              <w:t>Křížová č.p. 1728/19</w:t>
            </w:r>
          </w:p>
        </w:tc>
      </w:tr>
      <w:tr w:rsidR="005E39C1" w:rsidRPr="00666B93" w:rsidTr="007B0158">
        <w:tc>
          <w:tcPr>
            <w:tcW w:w="1082" w:type="dxa"/>
            <w:tcBorders>
              <w:right w:val="single" w:sz="12" w:space="0" w:color="auto"/>
            </w:tcBorders>
            <w:vAlign w:val="center"/>
          </w:tcPr>
          <w:p w:rsidR="005E39C1" w:rsidRPr="00666B93" w:rsidRDefault="005E39C1" w:rsidP="00E43E63">
            <w:pPr>
              <w:spacing w:before="12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5 - 7</w:t>
            </w:r>
          </w:p>
        </w:tc>
        <w:tc>
          <w:tcPr>
            <w:tcW w:w="1115" w:type="dxa"/>
          </w:tcPr>
          <w:p w:rsidR="005E39C1" w:rsidRPr="00666B93" w:rsidRDefault="007B0158" w:rsidP="003177EF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right w:val="single" w:sz="12" w:space="0" w:color="auto"/>
            </w:tcBorders>
          </w:tcPr>
          <w:p w:rsidR="005E39C1" w:rsidRPr="00666B93" w:rsidRDefault="007B0158" w:rsidP="003177EF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bytový dům</w:t>
            </w:r>
          </w:p>
        </w:tc>
        <w:tc>
          <w:tcPr>
            <w:tcW w:w="2509" w:type="dxa"/>
            <w:tcBorders>
              <w:left w:val="single" w:sz="12" w:space="0" w:color="auto"/>
            </w:tcBorders>
            <w:vAlign w:val="center"/>
          </w:tcPr>
          <w:p w:rsidR="005E39C1" w:rsidRPr="00666B93" w:rsidRDefault="005E39C1" w:rsidP="003177EF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 w:rsidRPr="00666B93">
              <w:rPr>
                <w:color w:val="000000"/>
                <w:sz w:val="22"/>
                <w:szCs w:val="22"/>
              </w:rPr>
              <w:t xml:space="preserve"> ul. </w:t>
            </w:r>
            <w:r>
              <w:rPr>
                <w:color w:val="000000"/>
                <w:sz w:val="22"/>
                <w:szCs w:val="22"/>
              </w:rPr>
              <w:t>Křížová č.p. 1728/21</w:t>
            </w:r>
            <w:r w:rsidRPr="00666B93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5E39C1" w:rsidRPr="00666B93" w:rsidTr="007B0158">
        <w:tc>
          <w:tcPr>
            <w:tcW w:w="1082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5E39C1" w:rsidRPr="00666B93" w:rsidRDefault="005E39C1" w:rsidP="00E43E63">
            <w:pPr>
              <w:spacing w:before="12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115" w:type="dxa"/>
            <w:tcBorders>
              <w:top w:val="single" w:sz="6" w:space="0" w:color="auto"/>
            </w:tcBorders>
          </w:tcPr>
          <w:p w:rsidR="005E39C1" w:rsidRDefault="007B0158" w:rsidP="009C2D3C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12" w:space="0" w:color="auto"/>
            </w:tcBorders>
          </w:tcPr>
          <w:p w:rsidR="005E39C1" w:rsidRDefault="005E39C1" w:rsidP="009C2D3C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</w:t>
            </w:r>
            <w:r w:rsidR="007B0158">
              <w:rPr>
                <w:color w:val="000000"/>
                <w:sz w:val="22"/>
                <w:szCs w:val="22"/>
              </w:rPr>
              <w:t xml:space="preserve">odinný </w:t>
            </w:r>
            <w:r>
              <w:rPr>
                <w:color w:val="000000"/>
                <w:sz w:val="22"/>
                <w:szCs w:val="22"/>
              </w:rPr>
              <w:t>d</w:t>
            </w:r>
            <w:r w:rsidR="007B0158">
              <w:rPr>
                <w:color w:val="000000"/>
                <w:sz w:val="22"/>
                <w:szCs w:val="22"/>
              </w:rPr>
              <w:t>ům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E39C1" w:rsidRPr="00666B93" w:rsidRDefault="005E39C1" w:rsidP="009C2D3C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</w:t>
            </w:r>
            <w:r w:rsidRPr="00666B93">
              <w:rPr>
                <w:color w:val="000000"/>
                <w:sz w:val="22"/>
                <w:szCs w:val="22"/>
              </w:rPr>
              <w:t xml:space="preserve">ul. </w:t>
            </w:r>
            <w:r>
              <w:rPr>
                <w:color w:val="000000"/>
                <w:sz w:val="22"/>
                <w:szCs w:val="22"/>
              </w:rPr>
              <w:t>Křížová č.p. 1729/17</w:t>
            </w:r>
            <w:r w:rsidRPr="00666B93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5E39C1" w:rsidRPr="00666B93" w:rsidTr="007B0158">
        <w:tc>
          <w:tcPr>
            <w:tcW w:w="1082" w:type="dxa"/>
            <w:tcBorders>
              <w:top w:val="single" w:sz="6" w:space="0" w:color="auto"/>
              <w:right w:val="single" w:sz="12" w:space="0" w:color="auto"/>
            </w:tcBorders>
            <w:vAlign w:val="center"/>
          </w:tcPr>
          <w:p w:rsidR="005E39C1" w:rsidRPr="003177EF" w:rsidRDefault="005E39C1" w:rsidP="00E43E63">
            <w:pPr>
              <w:spacing w:before="120" w:line="240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3177EF">
              <w:rPr>
                <w:color w:val="000000" w:themeColor="text1"/>
                <w:sz w:val="22"/>
                <w:szCs w:val="22"/>
              </w:rPr>
              <w:t>9, 10</w:t>
            </w:r>
          </w:p>
        </w:tc>
        <w:tc>
          <w:tcPr>
            <w:tcW w:w="1115" w:type="dxa"/>
            <w:tcBorders>
              <w:top w:val="single" w:sz="6" w:space="0" w:color="auto"/>
            </w:tcBorders>
          </w:tcPr>
          <w:p w:rsidR="005E39C1" w:rsidRPr="003177EF" w:rsidRDefault="007B0158" w:rsidP="009C2D3C">
            <w:pPr>
              <w:spacing w:before="120" w:line="240" w:lineRule="atLeas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right w:val="single" w:sz="12" w:space="0" w:color="auto"/>
            </w:tcBorders>
          </w:tcPr>
          <w:p w:rsidR="005E39C1" w:rsidRPr="003177EF" w:rsidRDefault="007B0158" w:rsidP="009C2D3C">
            <w:pPr>
              <w:spacing w:before="120" w:line="240" w:lineRule="atLeast"/>
              <w:rPr>
                <w:color w:val="000000" w:themeColor="text1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rodinný dům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12" w:space="0" w:color="auto"/>
            </w:tcBorders>
            <w:vAlign w:val="center"/>
          </w:tcPr>
          <w:p w:rsidR="005E39C1" w:rsidRPr="003177EF" w:rsidRDefault="005E39C1" w:rsidP="009C2D3C">
            <w:pPr>
              <w:spacing w:before="120" w:line="240" w:lineRule="atLeast"/>
              <w:rPr>
                <w:color w:val="000000" w:themeColor="text1"/>
                <w:sz w:val="22"/>
                <w:szCs w:val="22"/>
              </w:rPr>
            </w:pPr>
            <w:r w:rsidRPr="003177EF">
              <w:rPr>
                <w:color w:val="000000" w:themeColor="text1"/>
                <w:sz w:val="22"/>
                <w:szCs w:val="22"/>
              </w:rPr>
              <w:t xml:space="preserve"> ul. Křížová č.p. 1731/11  </w:t>
            </w:r>
          </w:p>
        </w:tc>
      </w:tr>
      <w:tr w:rsidR="005E39C1" w:rsidRPr="00666B93" w:rsidTr="007B0158">
        <w:tc>
          <w:tcPr>
            <w:tcW w:w="1082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39C1" w:rsidRPr="009C08A7" w:rsidRDefault="005E39C1" w:rsidP="00E43E63">
            <w:pPr>
              <w:spacing w:before="120" w:line="240" w:lineRule="atLeast"/>
              <w:jc w:val="center"/>
              <w:rPr>
                <w:color w:val="000000" w:themeColor="text1"/>
                <w:sz w:val="22"/>
                <w:szCs w:val="22"/>
              </w:rPr>
            </w:pPr>
            <w:r w:rsidRPr="009C08A7">
              <w:rPr>
                <w:color w:val="000000" w:themeColor="text1"/>
                <w:sz w:val="22"/>
                <w:szCs w:val="22"/>
              </w:rPr>
              <w:t>11, 12, 16</w:t>
            </w:r>
          </w:p>
        </w:tc>
        <w:tc>
          <w:tcPr>
            <w:tcW w:w="1115" w:type="dxa"/>
            <w:tcBorders>
              <w:top w:val="single" w:sz="6" w:space="0" w:color="auto"/>
              <w:bottom w:val="single" w:sz="6" w:space="0" w:color="auto"/>
            </w:tcBorders>
          </w:tcPr>
          <w:p w:rsidR="005E39C1" w:rsidRPr="009C08A7" w:rsidRDefault="007B0158" w:rsidP="00804BC6">
            <w:pPr>
              <w:spacing w:before="120" w:line="240" w:lineRule="atLeast"/>
              <w:rPr>
                <w:color w:val="000000" w:themeColor="text1"/>
                <w:sz w:val="22"/>
                <w:szCs w:val="22"/>
              </w:rPr>
            </w:pPr>
            <w:r w:rsidRPr="009C08A7">
              <w:rPr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5E39C1" w:rsidRPr="00804BC6" w:rsidRDefault="007B0158" w:rsidP="00804BC6">
            <w:pPr>
              <w:spacing w:before="120" w:line="240" w:lineRule="atLeast"/>
              <w:rPr>
                <w:color w:val="FF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bytový dům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  <w:vAlign w:val="center"/>
          </w:tcPr>
          <w:p w:rsidR="005E39C1" w:rsidRPr="00804BC6" w:rsidRDefault="005E39C1" w:rsidP="00804BC6">
            <w:pPr>
              <w:spacing w:before="120" w:line="240" w:lineRule="atLeast"/>
              <w:rPr>
                <w:color w:val="FF0000"/>
                <w:sz w:val="22"/>
                <w:szCs w:val="22"/>
              </w:rPr>
            </w:pPr>
            <w:r w:rsidRPr="00804BC6">
              <w:rPr>
                <w:color w:val="FF0000"/>
                <w:sz w:val="22"/>
                <w:szCs w:val="22"/>
              </w:rPr>
              <w:t xml:space="preserve"> </w:t>
            </w:r>
            <w:r w:rsidRPr="00666B93">
              <w:rPr>
                <w:color w:val="000000"/>
                <w:sz w:val="22"/>
                <w:szCs w:val="22"/>
              </w:rPr>
              <w:t xml:space="preserve">ul. </w:t>
            </w:r>
            <w:r>
              <w:rPr>
                <w:color w:val="000000"/>
                <w:sz w:val="22"/>
                <w:szCs w:val="22"/>
              </w:rPr>
              <w:t>Křížová č.p. 1730/15</w:t>
            </w:r>
            <w:r w:rsidRPr="00666B93">
              <w:rPr>
                <w:color w:val="000000"/>
                <w:sz w:val="22"/>
                <w:szCs w:val="22"/>
              </w:rPr>
              <w:t xml:space="preserve">  </w:t>
            </w:r>
          </w:p>
        </w:tc>
      </w:tr>
      <w:tr w:rsidR="005E39C1" w:rsidRPr="00666B93" w:rsidTr="007B0158">
        <w:tc>
          <w:tcPr>
            <w:tcW w:w="1082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5E39C1" w:rsidRPr="00666B93" w:rsidRDefault="005E39C1" w:rsidP="008E1766">
            <w:pPr>
              <w:spacing w:before="120" w:line="240" w:lineRule="atLeast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13 - 15</w:t>
            </w:r>
          </w:p>
        </w:tc>
        <w:tc>
          <w:tcPr>
            <w:tcW w:w="1115" w:type="dxa"/>
            <w:tcBorders>
              <w:top w:val="single" w:sz="6" w:space="0" w:color="auto"/>
              <w:bottom w:val="single" w:sz="12" w:space="0" w:color="auto"/>
            </w:tcBorders>
          </w:tcPr>
          <w:p w:rsidR="005E39C1" w:rsidRPr="00666B93" w:rsidRDefault="007B0158" w:rsidP="008E1766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6" w:space="0" w:color="auto"/>
              <w:bottom w:val="single" w:sz="12" w:space="0" w:color="auto"/>
              <w:right w:val="single" w:sz="12" w:space="0" w:color="auto"/>
            </w:tcBorders>
          </w:tcPr>
          <w:p w:rsidR="005E39C1" w:rsidRPr="00666B93" w:rsidRDefault="007B0158" w:rsidP="008E1766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bytový dům</w:t>
            </w:r>
          </w:p>
        </w:tc>
        <w:tc>
          <w:tcPr>
            <w:tcW w:w="2509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</w:tcBorders>
            <w:shd w:val="clear" w:color="auto" w:fill="auto"/>
            <w:vAlign w:val="center"/>
          </w:tcPr>
          <w:p w:rsidR="005E39C1" w:rsidRPr="00666B93" w:rsidRDefault="005E39C1" w:rsidP="008E1766">
            <w:pPr>
              <w:spacing w:before="120" w:line="240" w:lineRule="atLeast"/>
              <w:rPr>
                <w:color w:val="000000"/>
                <w:sz w:val="22"/>
                <w:szCs w:val="22"/>
              </w:rPr>
            </w:pPr>
            <w:r w:rsidRPr="00666B93">
              <w:rPr>
                <w:color w:val="000000"/>
                <w:sz w:val="22"/>
                <w:szCs w:val="22"/>
              </w:rPr>
              <w:t xml:space="preserve">ul. </w:t>
            </w:r>
            <w:r>
              <w:rPr>
                <w:color w:val="000000"/>
                <w:sz w:val="22"/>
                <w:szCs w:val="22"/>
              </w:rPr>
              <w:t>Křížová č.p. 1730</w:t>
            </w:r>
            <w:r w:rsidRPr="00666B93">
              <w:rPr>
                <w:color w:val="000000"/>
                <w:sz w:val="22"/>
                <w:szCs w:val="22"/>
              </w:rPr>
              <w:t>/</w:t>
            </w:r>
            <w:r>
              <w:rPr>
                <w:color w:val="000000"/>
                <w:sz w:val="22"/>
                <w:szCs w:val="22"/>
              </w:rPr>
              <w:t>13</w:t>
            </w:r>
          </w:p>
        </w:tc>
      </w:tr>
    </w:tbl>
    <w:p w:rsidR="009C08A7" w:rsidRDefault="009C08A7" w:rsidP="00F760EF">
      <w:pPr>
        <w:jc w:val="both"/>
        <w:rPr>
          <w:rFonts w:ascii="TimesNewRomanPS-ItalicMT" w:hAnsi="TimesNewRomanPS-ItalicMT" w:cs="TimesNewRomanPS-ItalicMT"/>
          <w:i/>
          <w:iCs/>
        </w:rPr>
      </w:pPr>
    </w:p>
    <w:p w:rsidR="00DE21DC" w:rsidRDefault="003177EF" w:rsidP="00F760EF">
      <w:pPr>
        <w:jc w:val="both"/>
        <w:rPr>
          <w:i/>
          <w:color w:val="000000"/>
        </w:rPr>
      </w:pPr>
      <w:r w:rsidRPr="003177EF">
        <w:rPr>
          <w:rFonts w:ascii="TimesNewRomanPS-ItalicMT" w:hAnsi="TimesNewRomanPS-ItalicMT" w:cs="TimesNewRomanPS-ItalicMT"/>
          <w:i/>
          <w:iCs/>
        </w:rPr>
        <w:t xml:space="preserve">Obrázek 1 - </w:t>
      </w:r>
      <w:r w:rsidRPr="003177EF">
        <w:rPr>
          <w:i/>
          <w:color w:val="000000"/>
        </w:rPr>
        <w:t>Umístění výpočtových bodů v okolí rekonstruovaného objektu (3D model – pohled od východu, z průmyslového areálu)</w:t>
      </w:r>
    </w:p>
    <w:p w:rsidR="003177EF" w:rsidRPr="00FE5E87" w:rsidRDefault="003177EF" w:rsidP="00F760EF">
      <w:pPr>
        <w:jc w:val="both"/>
        <w:rPr>
          <w:i/>
          <w:color w:val="000000"/>
          <w:sz w:val="6"/>
          <w:szCs w:val="6"/>
        </w:rPr>
      </w:pPr>
    </w:p>
    <w:p w:rsidR="003177EF" w:rsidRPr="003177EF" w:rsidRDefault="003177EF" w:rsidP="00F760EF">
      <w:pPr>
        <w:jc w:val="both"/>
        <w:rPr>
          <w:rFonts w:ascii="TimesNewRomanPS-ItalicMT" w:hAnsi="TimesNewRomanPS-ItalicMT" w:cs="TimesNewRomanPS-ItalicMT"/>
          <w:i/>
          <w:iCs/>
        </w:rPr>
      </w:pPr>
      <w:r>
        <w:rPr>
          <w:rFonts w:ascii="TimesNewRomanPS-ItalicMT" w:hAnsi="TimesNewRomanPS-ItalicMT" w:cs="TimesNewRomanPS-ItalicMT"/>
          <w:i/>
          <w:iCs/>
          <w:noProof/>
        </w:rPr>
        <w:drawing>
          <wp:inline distT="0" distB="0" distL="0" distR="0">
            <wp:extent cx="6003985" cy="2679618"/>
            <wp:effectExtent l="19050" t="19050" r="15875" b="26035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ypoctove body.jpg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00864" cy="2678225"/>
                    </a:xfrm>
                    <a:prstGeom prst="rect">
                      <a:avLst/>
                    </a:prstGeom>
                    <a:ln w="3175" cmpd="sng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217579" w:rsidRDefault="00217579" w:rsidP="00F760EF">
      <w:pPr>
        <w:jc w:val="both"/>
        <w:rPr>
          <w:rFonts w:ascii="TimesNewRomanPS-ItalicMT" w:hAnsi="TimesNewRomanPS-ItalicMT" w:cs="TimesNewRomanPS-ItalicMT"/>
          <w:iCs/>
        </w:rPr>
      </w:pPr>
    </w:p>
    <w:p w:rsidR="00217579" w:rsidRPr="00613AAC" w:rsidRDefault="00F47840" w:rsidP="00217579">
      <w:pPr>
        <w:pStyle w:val="Nadpis1"/>
        <w:spacing w:before="120"/>
        <w:rPr>
          <w:rFonts w:ascii="Times New Roman" w:hAnsi="Times New Roman" w:cs="Times New Roman"/>
          <w:bCs w:val="0"/>
          <w:color w:val="000000"/>
        </w:rPr>
      </w:pPr>
      <w:bookmarkStart w:id="45" w:name="_Toc212024481"/>
      <w:bookmarkStart w:id="46" w:name="_Toc275182542"/>
      <w:bookmarkStart w:id="47" w:name="_Toc410379010"/>
      <w:r>
        <w:rPr>
          <w:rFonts w:ascii="Times New Roman" w:hAnsi="Times New Roman" w:cs="Times New Roman"/>
          <w:bCs w:val="0"/>
          <w:color w:val="000000"/>
        </w:rPr>
        <w:t>7</w:t>
      </w:r>
      <w:r w:rsidR="00217579" w:rsidRPr="00613AAC">
        <w:rPr>
          <w:rFonts w:ascii="Times New Roman" w:hAnsi="Times New Roman" w:cs="Times New Roman"/>
          <w:bCs w:val="0"/>
          <w:color w:val="000000"/>
        </w:rPr>
        <w:t xml:space="preserve">. </w:t>
      </w:r>
      <w:r>
        <w:rPr>
          <w:rFonts w:ascii="Times New Roman" w:hAnsi="Times New Roman" w:cs="Times New Roman"/>
          <w:bCs w:val="0"/>
          <w:color w:val="000000"/>
        </w:rPr>
        <w:t>Zdroje hluku</w:t>
      </w:r>
      <w:bookmarkEnd w:id="45"/>
      <w:bookmarkEnd w:id="46"/>
      <w:bookmarkEnd w:id="47"/>
      <w:r w:rsidR="00217579" w:rsidRPr="00613AAC">
        <w:rPr>
          <w:rFonts w:ascii="Times New Roman" w:hAnsi="Times New Roman" w:cs="Times New Roman"/>
          <w:bCs w:val="0"/>
          <w:color w:val="000000"/>
        </w:rPr>
        <w:t xml:space="preserve"> </w:t>
      </w:r>
    </w:p>
    <w:p w:rsidR="00217579" w:rsidRPr="000249D2" w:rsidRDefault="00217579" w:rsidP="00217579">
      <w:pPr>
        <w:rPr>
          <w:rFonts w:cs="Arial"/>
          <w:color w:val="0000FF"/>
          <w:sz w:val="6"/>
          <w:szCs w:val="6"/>
        </w:rPr>
      </w:pPr>
      <w:bookmarkStart w:id="48" w:name="_Toc179097389"/>
    </w:p>
    <w:p w:rsidR="00EF67DD" w:rsidRDefault="004D6175" w:rsidP="00081E8E">
      <w:pPr>
        <w:pStyle w:val="Zkladntext"/>
        <w:jc w:val="both"/>
        <w:rPr>
          <w:rFonts w:cs="Arial"/>
          <w:sz w:val="24"/>
          <w:szCs w:val="24"/>
        </w:rPr>
      </w:pPr>
      <w:r w:rsidRPr="00744623">
        <w:rPr>
          <w:rFonts w:cs="Arial"/>
          <w:sz w:val="24"/>
          <w:szCs w:val="24"/>
        </w:rPr>
        <w:t>Realizace záměru, rekonstrukce budovy ČSSZ, s sebou přinese řadu dočasných negativních dopadů na okolní prostředí, a to včetně hluku ze stavebních mechanismů a z obslužné staveništní dopravy.</w:t>
      </w:r>
      <w:r w:rsidR="00744623" w:rsidRPr="00744623">
        <w:rPr>
          <w:rFonts w:cs="Arial"/>
          <w:sz w:val="24"/>
          <w:szCs w:val="24"/>
        </w:rPr>
        <w:t xml:space="preserve"> </w:t>
      </w:r>
      <w:r w:rsidR="00744623" w:rsidRPr="00C36F85">
        <w:rPr>
          <w:rFonts w:cs="Arial"/>
          <w:sz w:val="24"/>
          <w:szCs w:val="24"/>
        </w:rPr>
        <w:t>Lze očekávat, že úroveň hlukové hladiny šířící se ze staveniště bude velmi proměnlivá a bude záviset zejména na stavu a postupu stavebních prací</w:t>
      </w:r>
      <w:r w:rsidR="00744623">
        <w:rPr>
          <w:rFonts w:cs="Arial"/>
          <w:sz w:val="24"/>
          <w:szCs w:val="24"/>
        </w:rPr>
        <w:t>,</w:t>
      </w:r>
      <w:r w:rsidR="00744623" w:rsidRPr="00C36F85">
        <w:rPr>
          <w:rFonts w:cs="Arial"/>
          <w:sz w:val="24"/>
          <w:szCs w:val="24"/>
        </w:rPr>
        <w:t xml:space="preserve"> okamžité intenzitě výskytu, umístění a typ</w:t>
      </w:r>
      <w:r w:rsidR="00744623">
        <w:rPr>
          <w:rFonts w:cs="Arial"/>
          <w:sz w:val="24"/>
          <w:szCs w:val="24"/>
        </w:rPr>
        <w:t>u</w:t>
      </w:r>
      <w:r w:rsidR="00744623" w:rsidRPr="00C36F85">
        <w:rPr>
          <w:rFonts w:cs="Arial"/>
          <w:sz w:val="24"/>
          <w:szCs w:val="24"/>
        </w:rPr>
        <w:t xml:space="preserve"> strojů, případně dalších stavebních zařízení emitujících hluk. </w:t>
      </w:r>
    </w:p>
    <w:p w:rsidR="00081E8E" w:rsidRPr="00EF67DD" w:rsidRDefault="00081E8E" w:rsidP="00EF67DD">
      <w:pPr>
        <w:spacing w:before="120"/>
        <w:jc w:val="both"/>
      </w:pPr>
      <w:r w:rsidRPr="00081E8E">
        <w:rPr>
          <w:rFonts w:cs="Arial"/>
        </w:rPr>
        <w:t>Z </w:t>
      </w:r>
      <w:r w:rsidRPr="00EF67DD">
        <w:t>hlediska bezpečnosti je, nicméně, uplatněn konzervativní přístup, který uvažuje nejnepříznivější možný stav, tj. současný provoz všech uvažovaných stavebních mechanismů.</w:t>
      </w:r>
      <w:r w:rsidR="00EF67DD" w:rsidRPr="00EF67DD">
        <w:t xml:space="preserve"> Studie tak představuje</w:t>
      </w:r>
      <w:r w:rsidR="00EF67DD">
        <w:t xml:space="preserve"> </w:t>
      </w:r>
      <w:r w:rsidR="00EF67DD" w:rsidRPr="00EF67DD">
        <w:t>nejhorší možný stav, který ve skutečnosti s velkou pravděpodobností nenastane a</w:t>
      </w:r>
      <w:r w:rsidR="00EF67DD">
        <w:t xml:space="preserve"> </w:t>
      </w:r>
      <w:r w:rsidR="00EF67DD" w:rsidRPr="00EF67DD">
        <w:t>zahrnuje tak určitou rezervu</w:t>
      </w:r>
      <w:r w:rsidR="00EF67DD">
        <w:t>.</w:t>
      </w:r>
      <w:r w:rsidRPr="00EF67DD">
        <w:t xml:space="preserve"> </w:t>
      </w:r>
    </w:p>
    <w:p w:rsidR="00700D1A" w:rsidRDefault="00217579" w:rsidP="00700D1A">
      <w:pPr>
        <w:spacing w:before="120"/>
        <w:jc w:val="both"/>
      </w:pPr>
      <w:r>
        <w:t xml:space="preserve">V následujících kapitolách je provedeno posouzení hlukové zátěže ze stavebních prací </w:t>
      </w:r>
      <w:r w:rsidR="00BA5853">
        <w:t>v chráněném venkovním prostoru nejbližších staveb.</w:t>
      </w:r>
      <w:r>
        <w:t xml:space="preserve"> Výpočet je proveden pro nejhlučnější fáze </w:t>
      </w:r>
      <w:r w:rsidR="00E43E63">
        <w:t>stavební činnosti</w:t>
      </w:r>
      <w:r>
        <w:t xml:space="preserve">, tj. </w:t>
      </w:r>
      <w:r w:rsidR="00035BA0">
        <w:t xml:space="preserve">fázi </w:t>
      </w:r>
      <w:r w:rsidR="00E43E63">
        <w:t xml:space="preserve">demolici </w:t>
      </w:r>
      <w:r w:rsidR="00035BA0">
        <w:t>(</w:t>
      </w:r>
      <w:r w:rsidR="00E43E63">
        <w:t xml:space="preserve">části střechy </w:t>
      </w:r>
      <w:r w:rsidR="00035BA0">
        <w:t xml:space="preserve">a vnitřních příček) </w:t>
      </w:r>
      <w:r w:rsidR="00E43E63">
        <w:t xml:space="preserve">a </w:t>
      </w:r>
      <w:r w:rsidR="00035BA0">
        <w:t>nadstavbu</w:t>
      </w:r>
      <w:r>
        <w:t xml:space="preserve"> </w:t>
      </w:r>
      <w:r w:rsidR="00466204">
        <w:t>6. NP</w:t>
      </w:r>
      <w:r>
        <w:t>, kdy bud</w:t>
      </w:r>
      <w:r w:rsidR="00035BA0">
        <w:t>e</w:t>
      </w:r>
      <w:r w:rsidR="00466204">
        <w:t xml:space="preserve"> rovněž </w:t>
      </w:r>
      <w:r>
        <w:t xml:space="preserve">nasazeno nejvíce stavebních mechanizmů a obslužné </w:t>
      </w:r>
      <w:r w:rsidR="00466204">
        <w:t xml:space="preserve">staveništní </w:t>
      </w:r>
      <w:r>
        <w:t>dopravy.</w:t>
      </w:r>
      <w:r w:rsidR="00700D1A">
        <w:t xml:space="preserve"> Výše uvedené hlučné práce budou trvat přibližně po dobu dvou měsíců. Délka trvání nejhlučnější etapy – demolice části střechy bude přibližně 5 dní. </w:t>
      </w:r>
    </w:p>
    <w:p w:rsidR="00700D1A" w:rsidRDefault="00700D1A" w:rsidP="00700D1A">
      <w:pPr>
        <w:spacing w:before="120"/>
        <w:jc w:val="both"/>
        <w:rPr>
          <w:color w:val="000000"/>
        </w:rPr>
      </w:pPr>
      <w:r w:rsidRPr="00346169">
        <w:rPr>
          <w:color w:val="000000"/>
        </w:rPr>
        <w:t xml:space="preserve">V průběhu </w:t>
      </w:r>
      <w:r>
        <w:rPr>
          <w:color w:val="000000"/>
        </w:rPr>
        <w:t xml:space="preserve">demoličních, </w:t>
      </w:r>
      <w:r w:rsidRPr="00346169">
        <w:rPr>
          <w:color w:val="000000"/>
        </w:rPr>
        <w:t>stavebních a montážních prací budou nasazeny běžně používané dopravní a stavební stroje</w:t>
      </w:r>
      <w:r>
        <w:rPr>
          <w:color w:val="000000"/>
        </w:rPr>
        <w:t xml:space="preserve"> jako např. </w:t>
      </w:r>
      <w:r>
        <w:t>mobilní jeřáb, stavební výtahy a vrátky, bourací kladivo, vrtačky a svářečky atd. P</w:t>
      </w:r>
      <w:r w:rsidRPr="009E0CB7">
        <w:rPr>
          <w:color w:val="000000"/>
        </w:rPr>
        <w:t>ro potřeby stavby budou využívány zejména centrální výrobny betonu, armovny</w:t>
      </w:r>
      <w:r>
        <w:rPr>
          <w:color w:val="000000"/>
        </w:rPr>
        <w:t xml:space="preserve"> a </w:t>
      </w:r>
      <w:r w:rsidRPr="009E0CB7">
        <w:rPr>
          <w:color w:val="000000"/>
        </w:rPr>
        <w:t>prefa</w:t>
      </w:r>
      <w:r>
        <w:rPr>
          <w:color w:val="000000"/>
        </w:rPr>
        <w:t>brikované díly za účelem minimalizace pracovních činností v prostoru vlastního staveniště, které je prostorově omezeno.</w:t>
      </w:r>
    </w:p>
    <w:p w:rsidR="00466204" w:rsidRDefault="00035BA0" w:rsidP="00953BF8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Práce probíhající uvnitř objektu </w:t>
      </w:r>
      <w:r w:rsidR="00466204">
        <w:rPr>
          <w:color w:val="000000"/>
        </w:rPr>
        <w:t>(např. bourání vnitřních příček</w:t>
      </w:r>
      <w:r>
        <w:rPr>
          <w:color w:val="000000"/>
        </w:rPr>
        <w:t>, výstavba nových vnitřních dispozic, instalace zařízení, apod.</w:t>
      </w:r>
      <w:r w:rsidR="00466204">
        <w:rPr>
          <w:color w:val="000000"/>
        </w:rPr>
        <w:t xml:space="preserve">) prováděny uvnitř objektu a budou tak od vnějšího okolí odstíněny obvodovým </w:t>
      </w:r>
      <w:r w:rsidR="00217579" w:rsidRPr="00E64A51">
        <w:rPr>
          <w:color w:val="000000"/>
        </w:rPr>
        <w:t>plášt</w:t>
      </w:r>
      <w:r w:rsidR="00466204">
        <w:rPr>
          <w:color w:val="000000"/>
        </w:rPr>
        <w:t>ěm</w:t>
      </w:r>
      <w:r w:rsidR="00217579" w:rsidRPr="00E64A51">
        <w:rPr>
          <w:color w:val="000000"/>
        </w:rPr>
        <w:t xml:space="preserve"> budovy</w:t>
      </w:r>
      <w:r w:rsidR="00466204">
        <w:rPr>
          <w:color w:val="000000"/>
        </w:rPr>
        <w:t xml:space="preserve"> a okny (směrem do ulice Křížová).</w:t>
      </w:r>
      <w:r w:rsidR="00217579" w:rsidRPr="00E64A51">
        <w:rPr>
          <w:color w:val="000000"/>
        </w:rPr>
        <w:t xml:space="preserve"> </w:t>
      </w:r>
      <w:r w:rsidR="00625B35">
        <w:rPr>
          <w:color w:val="000000"/>
        </w:rPr>
        <w:t xml:space="preserve">Vnitřní práce budou probíhat šetrně kvůli zajištění statiky objektu. </w:t>
      </w:r>
    </w:p>
    <w:p w:rsidR="00466204" w:rsidRDefault="00625B35" w:rsidP="00953BF8">
      <w:pPr>
        <w:spacing w:before="120"/>
        <w:jc w:val="both"/>
        <w:rPr>
          <w:color w:val="000000"/>
        </w:rPr>
      </w:pPr>
      <w:r>
        <w:rPr>
          <w:color w:val="000000"/>
        </w:rPr>
        <w:t xml:space="preserve">Pro snížení hlukové zátěže okolí bude </w:t>
      </w:r>
      <w:r w:rsidR="00466204" w:rsidRPr="00625B35">
        <w:rPr>
          <w:color w:val="000000"/>
        </w:rPr>
        <w:t>demol</w:t>
      </w:r>
      <w:r>
        <w:rPr>
          <w:color w:val="000000"/>
        </w:rPr>
        <w:t xml:space="preserve">ice části střechy provedena </w:t>
      </w:r>
      <w:r w:rsidR="00466204" w:rsidRPr="00625B35">
        <w:rPr>
          <w:color w:val="000000"/>
        </w:rPr>
        <w:t xml:space="preserve">až po dokončení demolic </w:t>
      </w:r>
      <w:r>
        <w:rPr>
          <w:color w:val="000000"/>
        </w:rPr>
        <w:t xml:space="preserve">vnitřních </w:t>
      </w:r>
      <w:r w:rsidR="00466204" w:rsidRPr="00625B35">
        <w:rPr>
          <w:color w:val="000000"/>
        </w:rPr>
        <w:t>příček uvnitř objektu</w:t>
      </w:r>
      <w:r>
        <w:rPr>
          <w:color w:val="000000"/>
        </w:rPr>
        <w:t xml:space="preserve">, </w:t>
      </w:r>
      <w:r w:rsidRPr="00625B35">
        <w:rPr>
          <w:color w:val="000000"/>
        </w:rPr>
        <w:t>hlavní zařízení staveniště bude situováno před patou budovy směrem do dvora průmyslového areálu, zázemí staveniště bude umístěno uvnitř budovy</w:t>
      </w:r>
      <w:r>
        <w:rPr>
          <w:color w:val="000000"/>
        </w:rPr>
        <w:t xml:space="preserve"> a drobná mechanizace (míchačka na beton, kompresor, apod.) budou umísťovány uvnitř </w:t>
      </w:r>
      <w:r w:rsidR="00242F90">
        <w:rPr>
          <w:color w:val="000000"/>
        </w:rPr>
        <w:t xml:space="preserve">objektu, případně u paty objektu směrem do průmyslového areálu. </w:t>
      </w:r>
      <w:r w:rsidR="00744623">
        <w:rPr>
          <w:color w:val="000000"/>
        </w:rPr>
        <w:t>Stavební p</w:t>
      </w:r>
      <w:r w:rsidR="00744623" w:rsidRPr="00346169">
        <w:rPr>
          <w:color w:val="000000"/>
        </w:rPr>
        <w:t>ráce budou probíhat výhradně v denní době</w:t>
      </w:r>
      <w:r w:rsidR="00744623">
        <w:rPr>
          <w:color w:val="000000"/>
        </w:rPr>
        <w:t>,</w:t>
      </w:r>
      <w:r w:rsidR="00744623" w:rsidRPr="00346169">
        <w:rPr>
          <w:color w:val="000000"/>
        </w:rPr>
        <w:t xml:space="preserve"> </w:t>
      </w:r>
      <w:r w:rsidR="00744623">
        <w:rPr>
          <w:color w:val="000000"/>
        </w:rPr>
        <w:t>h</w:t>
      </w:r>
      <w:r w:rsidR="00242F90">
        <w:rPr>
          <w:color w:val="000000"/>
        </w:rPr>
        <w:t>lučné práce nebudou prováděny ve dnech pracovního klidu.</w:t>
      </w:r>
      <w:r w:rsidRPr="00625B35">
        <w:rPr>
          <w:color w:val="000000"/>
        </w:rPr>
        <w:t xml:space="preserve"> </w:t>
      </w:r>
    </w:p>
    <w:p w:rsidR="007E4A23" w:rsidRPr="007E4A23" w:rsidRDefault="007E4A23" w:rsidP="007E4A23">
      <w:pPr>
        <w:spacing w:before="120"/>
        <w:jc w:val="both"/>
        <w:rPr>
          <w:color w:val="000000"/>
        </w:rPr>
      </w:pPr>
      <w:r w:rsidRPr="007E4A23">
        <w:rPr>
          <w:color w:val="000000"/>
        </w:rPr>
        <w:t>Akustické parametry stavebních mechanismů (hladina akustického výkonu Lw</w:t>
      </w:r>
      <w:r w:rsidRPr="007E4A23">
        <w:rPr>
          <w:color w:val="000000"/>
          <w:vertAlign w:val="subscript"/>
        </w:rPr>
        <w:t>A</w:t>
      </w:r>
      <w:r w:rsidRPr="007E4A23">
        <w:rPr>
          <w:color w:val="000000"/>
        </w:rPr>
        <w:t>)</w:t>
      </w:r>
      <w:r>
        <w:rPr>
          <w:color w:val="000000"/>
        </w:rPr>
        <w:t xml:space="preserve"> </w:t>
      </w:r>
      <w:r w:rsidRPr="007E4A23">
        <w:rPr>
          <w:color w:val="000000"/>
        </w:rPr>
        <w:t>byly stanoveny podle z archivu zpracovatele</w:t>
      </w:r>
      <w:r>
        <w:rPr>
          <w:color w:val="000000"/>
        </w:rPr>
        <w:t xml:space="preserve">, </w:t>
      </w:r>
      <w:r w:rsidRPr="007E4A23">
        <w:rPr>
          <w:color w:val="000000"/>
        </w:rPr>
        <w:t>podkladů výrobce nebo jako maximální</w:t>
      </w:r>
      <w:r>
        <w:rPr>
          <w:color w:val="000000"/>
        </w:rPr>
        <w:t xml:space="preserve"> </w:t>
      </w:r>
      <w:r w:rsidRPr="007E4A23">
        <w:rPr>
          <w:color w:val="000000"/>
        </w:rPr>
        <w:t>přípustné hodnoty emisí hluku pro daný typ zařízení dle Nařízení vlády č. 9/2002 Sb.</w:t>
      </w:r>
      <w:r>
        <w:rPr>
          <w:color w:val="000000"/>
        </w:rPr>
        <w:t>,</w:t>
      </w:r>
      <w:r w:rsidRPr="007E4A23">
        <w:rPr>
          <w:color w:val="000000"/>
        </w:rPr>
        <w:t xml:space="preserve"> příloha č. 4 pro období od 3. 1. 2006. Při určení hlukových parametrů byly preferovány</w:t>
      </w:r>
      <w:r>
        <w:rPr>
          <w:color w:val="000000"/>
        </w:rPr>
        <w:t xml:space="preserve"> </w:t>
      </w:r>
      <w:r w:rsidRPr="007E4A23">
        <w:rPr>
          <w:color w:val="000000"/>
        </w:rPr>
        <w:t xml:space="preserve">moderní mechanismy s omezenou hlučností. </w:t>
      </w:r>
    </w:p>
    <w:p w:rsidR="00217579" w:rsidRPr="00E52B0F" w:rsidRDefault="00217579" w:rsidP="00953BF8">
      <w:pPr>
        <w:jc w:val="both"/>
        <w:rPr>
          <w:rFonts w:cs="Arial"/>
          <w:sz w:val="12"/>
          <w:szCs w:val="12"/>
        </w:rPr>
      </w:pPr>
    </w:p>
    <w:p w:rsidR="00217579" w:rsidRDefault="00217579" w:rsidP="00953BF8">
      <w:pPr>
        <w:jc w:val="both"/>
        <w:rPr>
          <w:rFonts w:cs="Arial"/>
        </w:rPr>
      </w:pPr>
      <w:r>
        <w:rPr>
          <w:rFonts w:cs="Arial"/>
        </w:rPr>
        <w:t xml:space="preserve">Výčet nejhlučnějších </w:t>
      </w:r>
      <w:r w:rsidRPr="0081655C">
        <w:rPr>
          <w:rFonts w:cs="Arial"/>
        </w:rPr>
        <w:t>stavebních mechanizmů použitých v</w:t>
      </w:r>
      <w:r>
        <w:rPr>
          <w:rFonts w:cs="Arial"/>
        </w:rPr>
        <w:t xml:space="preserve">e sledovaných </w:t>
      </w:r>
      <w:r w:rsidRPr="0081655C">
        <w:rPr>
          <w:rFonts w:cs="Arial"/>
        </w:rPr>
        <w:t>fáz</w:t>
      </w:r>
      <w:r>
        <w:rPr>
          <w:rFonts w:cs="Arial"/>
        </w:rPr>
        <w:t xml:space="preserve">ích výstavby včetně hodnoty </w:t>
      </w:r>
      <w:r w:rsidRPr="0081655C">
        <w:rPr>
          <w:rFonts w:cs="Arial"/>
        </w:rPr>
        <w:t>akustick</w:t>
      </w:r>
      <w:r>
        <w:rPr>
          <w:rFonts w:cs="Arial"/>
        </w:rPr>
        <w:t>ého tlaku a očekávané doby nasazení</w:t>
      </w:r>
      <w:r w:rsidR="00E23FED">
        <w:rPr>
          <w:rFonts w:cs="Arial"/>
        </w:rPr>
        <w:t xml:space="preserve"> na plný výkon zařízení</w:t>
      </w:r>
      <w:r>
        <w:rPr>
          <w:rFonts w:cs="Arial"/>
        </w:rPr>
        <w:t xml:space="preserve"> a dále akustického tlaku korigovaného na tuto předpokládanou provozní dobu jsou uvedeny v n</w:t>
      </w:r>
      <w:r w:rsidRPr="0081655C">
        <w:rPr>
          <w:rFonts w:cs="Arial"/>
        </w:rPr>
        <w:t>ásledující</w:t>
      </w:r>
      <w:r>
        <w:rPr>
          <w:rFonts w:cs="Arial"/>
        </w:rPr>
        <w:t>ch</w:t>
      </w:r>
      <w:r w:rsidRPr="0081655C">
        <w:rPr>
          <w:rFonts w:cs="Arial"/>
        </w:rPr>
        <w:t xml:space="preserve"> tabul</w:t>
      </w:r>
      <w:r>
        <w:rPr>
          <w:rFonts w:cs="Arial"/>
        </w:rPr>
        <w:t xml:space="preserve">kách. </w:t>
      </w:r>
    </w:p>
    <w:p w:rsidR="00D560E9" w:rsidRDefault="00D560E9" w:rsidP="00953BF8">
      <w:pPr>
        <w:jc w:val="both"/>
        <w:rPr>
          <w:rFonts w:cs="Arial"/>
        </w:rPr>
      </w:pPr>
    </w:p>
    <w:p w:rsidR="007F1386" w:rsidRDefault="007F1386" w:rsidP="00953BF8">
      <w:pPr>
        <w:jc w:val="both"/>
        <w:rPr>
          <w:rFonts w:cs="Arial"/>
        </w:rPr>
      </w:pPr>
    </w:p>
    <w:p w:rsidR="007F1386" w:rsidRDefault="007F1386" w:rsidP="00953BF8">
      <w:pPr>
        <w:jc w:val="both"/>
        <w:rPr>
          <w:rFonts w:cs="Arial"/>
        </w:rPr>
      </w:pPr>
    </w:p>
    <w:p w:rsidR="007F1386" w:rsidRDefault="007F1386" w:rsidP="00953BF8">
      <w:pPr>
        <w:jc w:val="both"/>
        <w:rPr>
          <w:rFonts w:cs="Arial"/>
        </w:rPr>
      </w:pPr>
    </w:p>
    <w:p w:rsidR="003168C2" w:rsidRPr="009C08A7" w:rsidRDefault="003168C2" w:rsidP="007E4A23">
      <w:pPr>
        <w:ind w:firstLine="708"/>
        <w:rPr>
          <w:rFonts w:cs="Arial"/>
          <w:sz w:val="6"/>
          <w:szCs w:val="6"/>
        </w:rPr>
      </w:pPr>
    </w:p>
    <w:p w:rsidR="00217579" w:rsidRPr="00774906" w:rsidRDefault="00217579" w:rsidP="00217579">
      <w:pPr>
        <w:spacing w:after="60"/>
        <w:rPr>
          <w:rFonts w:cs="Arial"/>
          <w:i/>
        </w:rPr>
      </w:pPr>
      <w:r w:rsidRPr="00774906">
        <w:rPr>
          <w:i/>
        </w:rPr>
        <w:t xml:space="preserve">Tabulka </w:t>
      </w:r>
      <w:r w:rsidR="00953BF8">
        <w:rPr>
          <w:i/>
        </w:rPr>
        <w:t>3</w:t>
      </w:r>
      <w:r w:rsidRPr="00774906">
        <w:rPr>
          <w:i/>
        </w:rPr>
        <w:t xml:space="preserve">: </w:t>
      </w:r>
      <w:r>
        <w:rPr>
          <w:i/>
        </w:rPr>
        <w:t>Hlavní m</w:t>
      </w:r>
      <w:r>
        <w:rPr>
          <w:rFonts w:cs="Arial"/>
          <w:i/>
        </w:rPr>
        <w:t xml:space="preserve">echanizace použitá během </w:t>
      </w:r>
      <w:r w:rsidR="00035BA0">
        <w:rPr>
          <w:rFonts w:cs="Arial"/>
          <w:i/>
        </w:rPr>
        <w:t xml:space="preserve">fáze </w:t>
      </w:r>
      <w:r w:rsidR="00953BF8">
        <w:rPr>
          <w:rFonts w:cs="Arial"/>
          <w:i/>
        </w:rPr>
        <w:t>demolic</w:t>
      </w:r>
    </w:p>
    <w:tbl>
      <w:tblPr>
        <w:tblStyle w:val="Mkatabulky"/>
        <w:tblW w:w="9664" w:type="dxa"/>
        <w:tblLook w:val="01E0" w:firstRow="1" w:lastRow="1" w:firstColumn="1" w:lastColumn="1" w:noHBand="0" w:noVBand="0"/>
      </w:tblPr>
      <w:tblGrid>
        <w:gridCol w:w="1057"/>
        <w:gridCol w:w="3162"/>
        <w:gridCol w:w="1270"/>
        <w:gridCol w:w="1427"/>
        <w:gridCol w:w="1240"/>
        <w:gridCol w:w="1508"/>
      </w:tblGrid>
      <w:tr w:rsidR="00E543F0" w:rsidRPr="004B5123" w:rsidTr="00AC7F3E">
        <w:trPr>
          <w:trHeight w:val="443"/>
        </w:trPr>
        <w:tc>
          <w:tcPr>
            <w:tcW w:w="1057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</w:tcBorders>
            <w:vAlign w:val="center"/>
          </w:tcPr>
          <w:p w:rsidR="00E543F0" w:rsidRPr="00B11ECB" w:rsidRDefault="00E543F0" w:rsidP="00E543F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>č. zdroje</w:t>
            </w:r>
          </w:p>
        </w:tc>
        <w:tc>
          <w:tcPr>
            <w:tcW w:w="3162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543F0" w:rsidRPr="00B11ECB" w:rsidRDefault="00E543F0" w:rsidP="00E23FED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>stavební stroj</w:t>
            </w:r>
            <w:r w:rsidR="00E23FED">
              <w:rPr>
                <w:rFonts w:cs="Arial"/>
                <w:b/>
                <w:color w:val="000000"/>
                <w:sz w:val="22"/>
                <w:szCs w:val="22"/>
              </w:rPr>
              <w:t xml:space="preserve"> či zařízení</w:t>
            </w:r>
          </w:p>
        </w:tc>
        <w:tc>
          <w:tcPr>
            <w:tcW w:w="127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543F0" w:rsidRPr="00B11ECB" w:rsidRDefault="00E543F0" w:rsidP="00E543F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>Počet</w:t>
            </w:r>
          </w:p>
        </w:tc>
        <w:tc>
          <w:tcPr>
            <w:tcW w:w="1427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543F0" w:rsidRPr="00B11ECB" w:rsidRDefault="00E543F0" w:rsidP="00E543F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>doba provozu (h)</w:t>
            </w:r>
          </w:p>
        </w:tc>
        <w:tc>
          <w:tcPr>
            <w:tcW w:w="1240" w:type="dxa"/>
            <w:tcBorders>
              <w:top w:val="single" w:sz="12" w:space="0" w:color="auto"/>
              <w:bottom w:val="single" w:sz="4" w:space="0" w:color="auto"/>
            </w:tcBorders>
            <w:vAlign w:val="center"/>
          </w:tcPr>
          <w:p w:rsidR="00E543F0" w:rsidRPr="00B11ECB" w:rsidRDefault="00E543F0" w:rsidP="00E543F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>Lw</w:t>
            </w:r>
            <w:r w:rsidRPr="00B11ECB">
              <w:rPr>
                <w:rFonts w:cs="Arial"/>
                <w:b/>
                <w:color w:val="000000"/>
                <w:sz w:val="22"/>
                <w:szCs w:val="22"/>
                <w:vertAlign w:val="subscript"/>
              </w:rPr>
              <w:t>A</w:t>
            </w: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 xml:space="preserve"> (dB)</w:t>
            </w:r>
          </w:p>
        </w:tc>
        <w:tc>
          <w:tcPr>
            <w:tcW w:w="1508" w:type="dxa"/>
            <w:tcBorders>
              <w:top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E543F0" w:rsidRPr="00B11ECB" w:rsidRDefault="00E543F0" w:rsidP="00E543F0">
            <w:pPr>
              <w:jc w:val="center"/>
              <w:rPr>
                <w:rFonts w:cs="Arial"/>
                <w:b/>
                <w:color w:val="000000"/>
                <w:sz w:val="22"/>
                <w:szCs w:val="22"/>
              </w:rPr>
            </w:pP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>L</w:t>
            </w:r>
            <w:r w:rsidRPr="00B11ECB">
              <w:rPr>
                <w:rFonts w:cs="Arial"/>
                <w:b/>
                <w:color w:val="000000"/>
                <w:sz w:val="22"/>
                <w:szCs w:val="22"/>
                <w:vertAlign w:val="subscript"/>
              </w:rPr>
              <w:t>WA korig</w:t>
            </w:r>
            <w:r w:rsidRPr="00B11ECB">
              <w:rPr>
                <w:rFonts w:cs="Arial"/>
                <w:b/>
                <w:color w:val="000000"/>
                <w:sz w:val="22"/>
                <w:szCs w:val="22"/>
              </w:rPr>
              <w:t xml:space="preserve"> (dB)</w:t>
            </w:r>
          </w:p>
        </w:tc>
      </w:tr>
      <w:tr w:rsidR="00AC7F3E" w:rsidRPr="00AC7F3E" w:rsidTr="00AC7F3E"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E543F0" w:rsidRPr="00AC7F3E" w:rsidRDefault="00AC7F3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P1</w:t>
            </w:r>
          </w:p>
        </w:tc>
        <w:tc>
          <w:tcPr>
            <w:tcW w:w="3162" w:type="dxa"/>
          </w:tcPr>
          <w:p w:rsidR="00E543F0" w:rsidRPr="00AC7F3E" w:rsidRDefault="00E543F0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vrtací a bourací kladivo</w:t>
            </w:r>
          </w:p>
        </w:tc>
        <w:tc>
          <w:tcPr>
            <w:tcW w:w="1270" w:type="dxa"/>
          </w:tcPr>
          <w:p w:rsidR="00E543F0" w:rsidRPr="00AC7F3E" w:rsidRDefault="004E7B50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7" w:type="dxa"/>
            <w:vAlign w:val="center"/>
          </w:tcPr>
          <w:p w:rsidR="00E543F0" w:rsidRPr="00EF38AD" w:rsidRDefault="00EF38AD" w:rsidP="00E43E63">
            <w:pPr>
              <w:jc w:val="center"/>
              <w:rPr>
                <w:color w:val="000000" w:themeColor="text1"/>
              </w:rPr>
            </w:pPr>
            <w:r w:rsidRPr="00EF38AD">
              <w:rPr>
                <w:color w:val="000000" w:themeColor="text1"/>
              </w:rPr>
              <w:t>5</w:t>
            </w:r>
          </w:p>
        </w:tc>
        <w:tc>
          <w:tcPr>
            <w:tcW w:w="1240" w:type="dxa"/>
            <w:vAlign w:val="center"/>
          </w:tcPr>
          <w:p w:rsidR="00E543F0" w:rsidRPr="00AC7F3E" w:rsidRDefault="00E220CA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105</w:t>
            </w:r>
          </w:p>
        </w:tc>
        <w:tc>
          <w:tcPr>
            <w:tcW w:w="1508" w:type="dxa"/>
            <w:tcBorders>
              <w:right w:val="single" w:sz="12" w:space="0" w:color="auto"/>
            </w:tcBorders>
            <w:vAlign w:val="center"/>
          </w:tcPr>
          <w:p w:rsidR="00E543F0" w:rsidRPr="00AC7F3E" w:rsidRDefault="00EF38AD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100,5</w:t>
            </w:r>
          </w:p>
        </w:tc>
      </w:tr>
      <w:tr w:rsidR="00AC7F3E" w:rsidRPr="00AC7F3E" w:rsidTr="00AC7F3E"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E543F0" w:rsidRPr="00AC7F3E" w:rsidRDefault="001215B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</w:t>
            </w:r>
            <w:r w:rsidR="008358CA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3162" w:type="dxa"/>
          </w:tcPr>
          <w:p w:rsidR="00E543F0" w:rsidRPr="00AC7F3E" w:rsidRDefault="00E543F0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stavební výtah</w:t>
            </w:r>
          </w:p>
        </w:tc>
        <w:tc>
          <w:tcPr>
            <w:tcW w:w="1270" w:type="dxa"/>
          </w:tcPr>
          <w:p w:rsidR="00E543F0" w:rsidRPr="00AC7F3E" w:rsidRDefault="007F58D2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7" w:type="dxa"/>
            <w:vAlign w:val="center"/>
          </w:tcPr>
          <w:p w:rsidR="00E543F0" w:rsidRPr="00EF38AD" w:rsidRDefault="007332CC" w:rsidP="00C72413">
            <w:pPr>
              <w:jc w:val="center"/>
              <w:rPr>
                <w:rFonts w:cs="Arial"/>
                <w:color w:val="000000" w:themeColor="text1"/>
              </w:rPr>
            </w:pPr>
            <w:r w:rsidRPr="00EF38AD">
              <w:rPr>
                <w:rFonts w:cs="Arial"/>
                <w:color w:val="000000" w:themeColor="text1"/>
              </w:rPr>
              <w:t>1</w:t>
            </w:r>
            <w:r w:rsidR="00C72413" w:rsidRPr="00EF38AD">
              <w:rPr>
                <w:rFonts w:cs="Arial"/>
                <w:color w:val="000000" w:themeColor="text1"/>
              </w:rPr>
              <w:t>0</w:t>
            </w:r>
          </w:p>
        </w:tc>
        <w:tc>
          <w:tcPr>
            <w:tcW w:w="1240" w:type="dxa"/>
            <w:vAlign w:val="center"/>
          </w:tcPr>
          <w:p w:rsidR="00E543F0" w:rsidRPr="00AC7F3E" w:rsidRDefault="00C72413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81</w:t>
            </w:r>
          </w:p>
        </w:tc>
        <w:tc>
          <w:tcPr>
            <w:tcW w:w="1508" w:type="dxa"/>
            <w:tcBorders>
              <w:right w:val="single" w:sz="12" w:space="0" w:color="auto"/>
            </w:tcBorders>
            <w:vAlign w:val="center"/>
          </w:tcPr>
          <w:p w:rsidR="00E543F0" w:rsidRPr="00AC7F3E" w:rsidRDefault="00C72413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79,5</w:t>
            </w:r>
          </w:p>
        </w:tc>
      </w:tr>
      <w:tr w:rsidR="00AC7F3E" w:rsidRPr="00AC7F3E" w:rsidTr="00AC7F3E"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E543F0" w:rsidRPr="00AC7F3E" w:rsidRDefault="001215B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</w:t>
            </w:r>
            <w:r w:rsidR="008358CA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3162" w:type="dxa"/>
          </w:tcPr>
          <w:p w:rsidR="00E543F0" w:rsidRPr="00AC7F3E" w:rsidRDefault="00E543F0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kompresor</w:t>
            </w:r>
          </w:p>
        </w:tc>
        <w:tc>
          <w:tcPr>
            <w:tcW w:w="1270" w:type="dxa"/>
          </w:tcPr>
          <w:p w:rsidR="00E543F0" w:rsidRPr="00AC7F3E" w:rsidRDefault="00E543F0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7" w:type="dxa"/>
            <w:vAlign w:val="center"/>
          </w:tcPr>
          <w:p w:rsidR="00E543F0" w:rsidRPr="00EF38AD" w:rsidRDefault="00B11ECB" w:rsidP="00E43E63">
            <w:pPr>
              <w:jc w:val="center"/>
              <w:rPr>
                <w:rFonts w:cs="Arial"/>
                <w:color w:val="000000" w:themeColor="text1"/>
              </w:rPr>
            </w:pPr>
            <w:r w:rsidRPr="00EF38AD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1240" w:type="dxa"/>
            <w:vAlign w:val="center"/>
          </w:tcPr>
          <w:p w:rsidR="00E543F0" w:rsidRPr="00AC7F3E" w:rsidRDefault="003168C2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95</w:t>
            </w:r>
          </w:p>
        </w:tc>
        <w:tc>
          <w:tcPr>
            <w:tcW w:w="1508" w:type="dxa"/>
            <w:tcBorders>
              <w:right w:val="single" w:sz="12" w:space="0" w:color="auto"/>
            </w:tcBorders>
            <w:vAlign w:val="center"/>
          </w:tcPr>
          <w:p w:rsidR="00E543F0" w:rsidRPr="00AC7F3E" w:rsidRDefault="003168C2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91,3</w:t>
            </w:r>
          </w:p>
        </w:tc>
      </w:tr>
      <w:tr w:rsidR="00AC7F3E" w:rsidRPr="00AC7F3E" w:rsidTr="00AC7F3E"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D741DD" w:rsidRPr="00AC7F3E" w:rsidRDefault="008358CA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P7</w:t>
            </w:r>
            <w:r w:rsidR="001215BE">
              <w:rPr>
                <w:rFonts w:cs="Arial"/>
                <w:color w:val="000000" w:themeColor="text1"/>
              </w:rPr>
              <w:t>, 8</w:t>
            </w:r>
          </w:p>
        </w:tc>
        <w:tc>
          <w:tcPr>
            <w:tcW w:w="3162" w:type="dxa"/>
          </w:tcPr>
          <w:p w:rsidR="00D741DD" w:rsidRPr="00AC7F3E" w:rsidRDefault="003168C2" w:rsidP="004E7B50">
            <w:pPr>
              <w:jc w:val="left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drobná stavební</w:t>
            </w:r>
            <w:r w:rsidR="00D741DD" w:rsidRPr="00AC7F3E">
              <w:rPr>
                <w:rFonts w:cs="Arial"/>
                <w:color w:val="000000" w:themeColor="text1"/>
              </w:rPr>
              <w:t xml:space="preserve"> mechanizace</w:t>
            </w:r>
          </w:p>
        </w:tc>
        <w:tc>
          <w:tcPr>
            <w:tcW w:w="1270" w:type="dxa"/>
            <w:vAlign w:val="center"/>
          </w:tcPr>
          <w:p w:rsidR="00D741DD" w:rsidRPr="00AC7F3E" w:rsidRDefault="008358CA" w:rsidP="004E7B50">
            <w:pPr>
              <w:jc w:val="center"/>
              <w:rPr>
                <w:rFonts w:cs="Arial"/>
                <w:color w:val="000000" w:themeColor="text1"/>
              </w:rPr>
            </w:pPr>
            <w:r w:rsidRPr="00EF38AD"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427" w:type="dxa"/>
            <w:vAlign w:val="center"/>
          </w:tcPr>
          <w:p w:rsidR="00D741DD" w:rsidRPr="00EF38AD" w:rsidRDefault="003168C2" w:rsidP="004E7B50">
            <w:pPr>
              <w:jc w:val="center"/>
              <w:rPr>
                <w:color w:val="000000" w:themeColor="text1"/>
              </w:rPr>
            </w:pPr>
            <w:r w:rsidRPr="00EF38AD">
              <w:rPr>
                <w:color w:val="000000" w:themeColor="text1"/>
              </w:rPr>
              <w:t>10</w:t>
            </w:r>
          </w:p>
        </w:tc>
        <w:tc>
          <w:tcPr>
            <w:tcW w:w="1240" w:type="dxa"/>
            <w:vAlign w:val="center"/>
          </w:tcPr>
          <w:p w:rsidR="00D741DD" w:rsidRPr="00AC7F3E" w:rsidRDefault="00D741DD" w:rsidP="004E7B50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</w:t>
            </w:r>
            <w:r w:rsidR="003168C2" w:rsidRPr="00AC7F3E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1508" w:type="dxa"/>
            <w:tcBorders>
              <w:right w:val="single" w:sz="12" w:space="0" w:color="auto"/>
            </w:tcBorders>
            <w:vAlign w:val="center"/>
          </w:tcPr>
          <w:p w:rsidR="00D741DD" w:rsidRPr="00AC7F3E" w:rsidRDefault="003168C2" w:rsidP="004E7B50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93,5</w:t>
            </w:r>
          </w:p>
        </w:tc>
      </w:tr>
      <w:tr w:rsidR="00AC7F3E" w:rsidRPr="00AC7F3E" w:rsidTr="00AC7F3E"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E543F0" w:rsidRPr="00AC7F3E" w:rsidRDefault="001215B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</w:t>
            </w:r>
            <w:r w:rsidR="008358CA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3162" w:type="dxa"/>
          </w:tcPr>
          <w:p w:rsidR="00E543F0" w:rsidRPr="00AC7F3E" w:rsidRDefault="00E543F0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nákladní auto (volnoběh)</w:t>
            </w:r>
          </w:p>
        </w:tc>
        <w:tc>
          <w:tcPr>
            <w:tcW w:w="1270" w:type="dxa"/>
          </w:tcPr>
          <w:p w:rsidR="00E543F0" w:rsidRPr="00AC7F3E" w:rsidRDefault="00E543F0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7" w:type="dxa"/>
            <w:vAlign w:val="center"/>
          </w:tcPr>
          <w:p w:rsidR="00E543F0" w:rsidRPr="00EF38AD" w:rsidRDefault="00EF624C" w:rsidP="00E43E63">
            <w:pPr>
              <w:jc w:val="center"/>
              <w:rPr>
                <w:color w:val="000000" w:themeColor="text1"/>
              </w:rPr>
            </w:pPr>
            <w:r w:rsidRPr="00EF38AD">
              <w:rPr>
                <w:color w:val="000000" w:themeColor="text1"/>
              </w:rPr>
              <w:t>6</w:t>
            </w:r>
          </w:p>
        </w:tc>
        <w:tc>
          <w:tcPr>
            <w:tcW w:w="1240" w:type="dxa"/>
            <w:vAlign w:val="center"/>
          </w:tcPr>
          <w:p w:rsidR="00E543F0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99</w:t>
            </w:r>
          </w:p>
        </w:tc>
        <w:tc>
          <w:tcPr>
            <w:tcW w:w="1508" w:type="dxa"/>
            <w:tcBorders>
              <w:right w:val="single" w:sz="12" w:space="0" w:color="auto"/>
            </w:tcBorders>
            <w:vAlign w:val="center"/>
          </w:tcPr>
          <w:p w:rsidR="00E543F0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96,6</w:t>
            </w:r>
          </w:p>
        </w:tc>
      </w:tr>
      <w:tr w:rsidR="00AC7F3E" w:rsidRPr="00AC7F3E" w:rsidTr="00AC7F3E">
        <w:tc>
          <w:tcPr>
            <w:tcW w:w="1057" w:type="dxa"/>
            <w:tcBorders>
              <w:left w:val="single" w:sz="12" w:space="0" w:color="auto"/>
            </w:tcBorders>
            <w:vAlign w:val="center"/>
          </w:tcPr>
          <w:p w:rsidR="00A42C6C" w:rsidRPr="00AC7F3E" w:rsidRDefault="001215B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</w:t>
            </w:r>
            <w:r w:rsidR="008358CA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3162" w:type="dxa"/>
          </w:tcPr>
          <w:p w:rsidR="00A42C6C" w:rsidRPr="00AC7F3E" w:rsidRDefault="00A42C6C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rozbrušovačka</w:t>
            </w:r>
          </w:p>
        </w:tc>
        <w:tc>
          <w:tcPr>
            <w:tcW w:w="1270" w:type="dxa"/>
          </w:tcPr>
          <w:p w:rsidR="00A42C6C" w:rsidRPr="00AC7F3E" w:rsidRDefault="00A42C6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7" w:type="dxa"/>
            <w:vAlign w:val="center"/>
          </w:tcPr>
          <w:p w:rsidR="00A42C6C" w:rsidRPr="00EF38AD" w:rsidRDefault="00EF38AD" w:rsidP="00E43E63">
            <w:pPr>
              <w:jc w:val="center"/>
              <w:rPr>
                <w:color w:val="000000" w:themeColor="text1"/>
              </w:rPr>
            </w:pPr>
            <w:r w:rsidRPr="00EF38AD">
              <w:rPr>
                <w:color w:val="000000" w:themeColor="text1"/>
              </w:rPr>
              <w:t>3</w:t>
            </w:r>
          </w:p>
        </w:tc>
        <w:tc>
          <w:tcPr>
            <w:tcW w:w="1240" w:type="dxa"/>
            <w:vAlign w:val="center"/>
          </w:tcPr>
          <w:p w:rsidR="00A42C6C" w:rsidRPr="00AC7F3E" w:rsidRDefault="00A42C6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106</w:t>
            </w:r>
          </w:p>
        </w:tc>
        <w:tc>
          <w:tcPr>
            <w:tcW w:w="1508" w:type="dxa"/>
            <w:tcBorders>
              <w:right w:val="single" w:sz="12" w:space="0" w:color="auto"/>
            </w:tcBorders>
            <w:vAlign w:val="center"/>
          </w:tcPr>
          <w:p w:rsidR="00A42C6C" w:rsidRPr="00AC7F3E" w:rsidRDefault="00EF38AD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99,3</w:t>
            </w:r>
          </w:p>
        </w:tc>
      </w:tr>
      <w:tr w:rsidR="00AC7F3E" w:rsidRPr="00AC7F3E" w:rsidTr="00AC7F3E">
        <w:tc>
          <w:tcPr>
            <w:tcW w:w="1057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E543F0" w:rsidRPr="00AC7F3E" w:rsidRDefault="001215B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P7</w:t>
            </w:r>
          </w:p>
        </w:tc>
        <w:tc>
          <w:tcPr>
            <w:tcW w:w="3162" w:type="dxa"/>
            <w:tcBorders>
              <w:bottom w:val="single" w:sz="12" w:space="0" w:color="auto"/>
            </w:tcBorders>
          </w:tcPr>
          <w:p w:rsidR="00E543F0" w:rsidRPr="00AC7F3E" w:rsidRDefault="00E543F0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autojeřáb</w:t>
            </w:r>
          </w:p>
        </w:tc>
        <w:tc>
          <w:tcPr>
            <w:tcW w:w="1270" w:type="dxa"/>
            <w:tcBorders>
              <w:bottom w:val="single" w:sz="12" w:space="0" w:color="auto"/>
            </w:tcBorders>
          </w:tcPr>
          <w:p w:rsidR="00E543F0" w:rsidRPr="00AC7F3E" w:rsidRDefault="00E543F0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7" w:type="dxa"/>
            <w:tcBorders>
              <w:bottom w:val="single" w:sz="12" w:space="0" w:color="auto"/>
            </w:tcBorders>
            <w:vAlign w:val="center"/>
          </w:tcPr>
          <w:p w:rsidR="00E543F0" w:rsidRPr="00EF38AD" w:rsidRDefault="002333A1" w:rsidP="00E43E63">
            <w:pPr>
              <w:jc w:val="center"/>
              <w:rPr>
                <w:color w:val="000000" w:themeColor="text1"/>
              </w:rPr>
            </w:pPr>
            <w:r w:rsidRPr="00EF38AD">
              <w:rPr>
                <w:color w:val="000000" w:themeColor="text1"/>
              </w:rPr>
              <w:t>6</w:t>
            </w:r>
          </w:p>
        </w:tc>
        <w:tc>
          <w:tcPr>
            <w:tcW w:w="1240" w:type="dxa"/>
            <w:tcBorders>
              <w:bottom w:val="single" w:sz="12" w:space="0" w:color="auto"/>
            </w:tcBorders>
            <w:vAlign w:val="center"/>
          </w:tcPr>
          <w:p w:rsidR="00E543F0" w:rsidRPr="00AC7F3E" w:rsidRDefault="003168C2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101</w:t>
            </w:r>
          </w:p>
        </w:tc>
        <w:tc>
          <w:tcPr>
            <w:tcW w:w="150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E543F0" w:rsidRPr="00AC7F3E" w:rsidRDefault="002333A1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97,3</w:t>
            </w:r>
          </w:p>
        </w:tc>
      </w:tr>
    </w:tbl>
    <w:p w:rsidR="00217579" w:rsidRPr="00AC7F3E" w:rsidRDefault="00217579" w:rsidP="00217579">
      <w:pPr>
        <w:spacing w:before="200" w:after="60"/>
        <w:rPr>
          <w:rFonts w:cs="Arial"/>
          <w:i/>
          <w:color w:val="000000" w:themeColor="text1"/>
        </w:rPr>
      </w:pPr>
      <w:r w:rsidRPr="00AC7F3E">
        <w:rPr>
          <w:i/>
          <w:color w:val="000000" w:themeColor="text1"/>
        </w:rPr>
        <w:t xml:space="preserve">Tabulka </w:t>
      </w:r>
      <w:r w:rsidR="00526D85" w:rsidRPr="00AC7F3E">
        <w:rPr>
          <w:i/>
          <w:color w:val="000000" w:themeColor="text1"/>
        </w:rPr>
        <w:t>4</w:t>
      </w:r>
      <w:r w:rsidRPr="00AC7F3E">
        <w:rPr>
          <w:i/>
          <w:color w:val="000000" w:themeColor="text1"/>
        </w:rPr>
        <w:t>: Hlavní m</w:t>
      </w:r>
      <w:r w:rsidRPr="00AC7F3E">
        <w:rPr>
          <w:rFonts w:cs="Arial"/>
          <w:i/>
          <w:color w:val="000000" w:themeColor="text1"/>
        </w:rPr>
        <w:t xml:space="preserve">echanizace použitá během </w:t>
      </w:r>
      <w:r w:rsidR="00526D85" w:rsidRPr="00AC7F3E">
        <w:rPr>
          <w:rFonts w:cs="Arial"/>
          <w:i/>
          <w:color w:val="000000" w:themeColor="text1"/>
        </w:rPr>
        <w:t>nadstavby 6. NP</w:t>
      </w:r>
    </w:p>
    <w:tbl>
      <w:tblPr>
        <w:tblStyle w:val="Mkatabulky"/>
        <w:tblW w:w="9642" w:type="dxa"/>
        <w:tblLook w:val="01E0" w:firstRow="1" w:lastRow="1" w:firstColumn="1" w:lastColumn="1" w:noHBand="0" w:noVBand="0"/>
      </w:tblPr>
      <w:tblGrid>
        <w:gridCol w:w="1070"/>
        <w:gridCol w:w="3161"/>
        <w:gridCol w:w="1158"/>
        <w:gridCol w:w="1426"/>
        <w:gridCol w:w="1241"/>
        <w:gridCol w:w="1586"/>
      </w:tblGrid>
      <w:tr w:rsidR="00AC7F3E" w:rsidRPr="00AC7F3E" w:rsidTr="00AC7F3E">
        <w:trPr>
          <w:trHeight w:val="443"/>
        </w:trPr>
        <w:tc>
          <w:tcPr>
            <w:tcW w:w="104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:rsidR="00B11ECB" w:rsidRPr="00AC7F3E" w:rsidRDefault="00B11ECB" w:rsidP="00E43E63">
            <w:pPr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>č. zdroje</w:t>
            </w:r>
          </w:p>
        </w:tc>
        <w:tc>
          <w:tcPr>
            <w:tcW w:w="3171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11ECB" w:rsidRPr="00AC7F3E" w:rsidRDefault="00E23FED" w:rsidP="00E23FED">
            <w:pPr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>stavební stroj či zařízení</w:t>
            </w:r>
          </w:p>
        </w:tc>
        <w:tc>
          <w:tcPr>
            <w:tcW w:w="1160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11ECB" w:rsidRPr="00AC7F3E" w:rsidRDefault="00B11ECB" w:rsidP="00700D1A">
            <w:pPr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>Počet</w:t>
            </w:r>
          </w:p>
        </w:tc>
        <w:tc>
          <w:tcPr>
            <w:tcW w:w="1428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11ECB" w:rsidRPr="00AC7F3E" w:rsidRDefault="00B11ECB" w:rsidP="00700D1A">
            <w:pPr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>doba provozu (h)</w:t>
            </w:r>
          </w:p>
        </w:tc>
        <w:tc>
          <w:tcPr>
            <w:tcW w:w="1244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:rsidR="00B11ECB" w:rsidRPr="00AC7F3E" w:rsidRDefault="00B11ECB" w:rsidP="00700D1A">
            <w:pPr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>Lw</w:t>
            </w:r>
            <w:r w:rsidRPr="00AC7F3E">
              <w:rPr>
                <w:rFonts w:cs="Arial"/>
                <w:b/>
                <w:color w:val="000000" w:themeColor="text1"/>
                <w:sz w:val="22"/>
                <w:szCs w:val="22"/>
                <w:vertAlign w:val="subscript"/>
              </w:rPr>
              <w:t>A</w:t>
            </w: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 xml:space="preserve"> (dB)</w:t>
            </w:r>
          </w:p>
        </w:tc>
        <w:tc>
          <w:tcPr>
            <w:tcW w:w="1591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:rsidR="00B11ECB" w:rsidRPr="00AC7F3E" w:rsidRDefault="00B11ECB" w:rsidP="00700D1A">
            <w:pPr>
              <w:jc w:val="center"/>
              <w:rPr>
                <w:rFonts w:cs="Arial"/>
                <w:b/>
                <w:color w:val="000000" w:themeColor="text1"/>
                <w:sz w:val="22"/>
                <w:szCs w:val="22"/>
              </w:rPr>
            </w:pP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>L</w:t>
            </w:r>
            <w:r w:rsidRPr="00AC7F3E">
              <w:rPr>
                <w:rFonts w:cs="Arial"/>
                <w:b/>
                <w:color w:val="000000" w:themeColor="text1"/>
                <w:sz w:val="22"/>
                <w:szCs w:val="22"/>
                <w:vertAlign w:val="subscript"/>
              </w:rPr>
              <w:t>WA korig</w:t>
            </w:r>
            <w:r w:rsidRPr="00AC7F3E">
              <w:rPr>
                <w:rFonts w:cs="Arial"/>
                <w:b/>
                <w:color w:val="000000" w:themeColor="text1"/>
                <w:sz w:val="22"/>
                <w:szCs w:val="22"/>
              </w:rPr>
              <w:t xml:space="preserve"> (dB)</w:t>
            </w:r>
          </w:p>
        </w:tc>
      </w:tr>
      <w:tr w:rsidR="00AC7F3E" w:rsidRPr="00AC7F3E" w:rsidTr="00AC7F3E">
        <w:tc>
          <w:tcPr>
            <w:tcW w:w="1048" w:type="dxa"/>
            <w:tcBorders>
              <w:top w:val="single" w:sz="8" w:space="0" w:color="auto"/>
              <w:left w:val="single" w:sz="12" w:space="0" w:color="auto"/>
            </w:tcBorders>
            <w:vAlign w:val="center"/>
          </w:tcPr>
          <w:p w:rsidR="00B11ECB" w:rsidRPr="00AC7F3E" w:rsidRDefault="00AC7F3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P8</w:t>
            </w:r>
          </w:p>
        </w:tc>
        <w:tc>
          <w:tcPr>
            <w:tcW w:w="3171" w:type="dxa"/>
            <w:tcBorders>
              <w:top w:val="single" w:sz="8" w:space="0" w:color="auto"/>
            </w:tcBorders>
          </w:tcPr>
          <w:p w:rsidR="00B11ECB" w:rsidRPr="00AC7F3E" w:rsidRDefault="00B11ECB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color w:val="000000" w:themeColor="text1"/>
              </w:rPr>
              <w:t>automix (volnoběh)</w:t>
            </w:r>
          </w:p>
        </w:tc>
        <w:tc>
          <w:tcPr>
            <w:tcW w:w="1160" w:type="dxa"/>
            <w:tcBorders>
              <w:top w:val="single" w:sz="8" w:space="0" w:color="auto"/>
            </w:tcBorders>
          </w:tcPr>
          <w:p w:rsidR="00B11ECB" w:rsidRPr="00AC7F3E" w:rsidRDefault="00B11ECB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8" w:type="dxa"/>
            <w:tcBorders>
              <w:top w:val="single" w:sz="8" w:space="0" w:color="auto"/>
            </w:tcBorders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1244" w:type="dxa"/>
            <w:tcBorders>
              <w:top w:val="single" w:sz="8" w:space="0" w:color="auto"/>
            </w:tcBorders>
            <w:vAlign w:val="center"/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97</w:t>
            </w:r>
          </w:p>
        </w:tc>
        <w:tc>
          <w:tcPr>
            <w:tcW w:w="1591" w:type="dxa"/>
            <w:tcBorders>
              <w:top w:val="single" w:sz="8" w:space="0" w:color="auto"/>
              <w:right w:val="single" w:sz="12" w:space="0" w:color="auto"/>
            </w:tcBorders>
            <w:vAlign w:val="center"/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93,3</w:t>
            </w:r>
          </w:p>
        </w:tc>
      </w:tr>
      <w:tr w:rsidR="00AC7F3E" w:rsidRPr="00AC7F3E" w:rsidTr="00AC7F3E">
        <w:tc>
          <w:tcPr>
            <w:tcW w:w="1048" w:type="dxa"/>
            <w:tcBorders>
              <w:left w:val="single" w:sz="12" w:space="0" w:color="auto"/>
            </w:tcBorders>
            <w:vAlign w:val="center"/>
          </w:tcPr>
          <w:p w:rsidR="00B11ECB" w:rsidRPr="00AC7F3E" w:rsidRDefault="00AC7F3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P9</w:t>
            </w:r>
          </w:p>
        </w:tc>
        <w:tc>
          <w:tcPr>
            <w:tcW w:w="3171" w:type="dxa"/>
          </w:tcPr>
          <w:p w:rsidR="00B11ECB" w:rsidRPr="00AC7F3E" w:rsidRDefault="00B11ECB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čerpadlo na beton</w:t>
            </w:r>
          </w:p>
        </w:tc>
        <w:tc>
          <w:tcPr>
            <w:tcW w:w="1160" w:type="dxa"/>
          </w:tcPr>
          <w:p w:rsidR="00B11ECB" w:rsidRPr="00AC7F3E" w:rsidRDefault="00B11ECB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8" w:type="dxa"/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44" w:type="dxa"/>
            <w:vAlign w:val="center"/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98</w:t>
            </w:r>
          </w:p>
        </w:tc>
        <w:tc>
          <w:tcPr>
            <w:tcW w:w="1591" w:type="dxa"/>
            <w:tcBorders>
              <w:right w:val="single" w:sz="12" w:space="0" w:color="auto"/>
            </w:tcBorders>
            <w:vAlign w:val="center"/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92,6</w:t>
            </w:r>
          </w:p>
        </w:tc>
      </w:tr>
      <w:tr w:rsidR="00AC7F3E" w:rsidRPr="00AC7F3E" w:rsidTr="00AC7F3E">
        <w:tc>
          <w:tcPr>
            <w:tcW w:w="1048" w:type="dxa"/>
            <w:tcBorders>
              <w:left w:val="single" w:sz="12" w:space="0" w:color="auto"/>
            </w:tcBorders>
            <w:vAlign w:val="center"/>
          </w:tcPr>
          <w:p w:rsidR="00303AC2" w:rsidRPr="00AC7F3E" w:rsidRDefault="00AC7F3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P4</w:t>
            </w:r>
          </w:p>
        </w:tc>
        <w:tc>
          <w:tcPr>
            <w:tcW w:w="3171" w:type="dxa"/>
          </w:tcPr>
          <w:p w:rsidR="00303AC2" w:rsidRPr="00AC7F3E" w:rsidRDefault="00303AC2" w:rsidP="00700D1A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míchačka na beton</w:t>
            </w:r>
          </w:p>
        </w:tc>
        <w:tc>
          <w:tcPr>
            <w:tcW w:w="1160" w:type="dxa"/>
          </w:tcPr>
          <w:p w:rsidR="00303AC2" w:rsidRPr="00AC7F3E" w:rsidRDefault="00303AC2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8" w:type="dxa"/>
          </w:tcPr>
          <w:p w:rsidR="00303AC2" w:rsidRPr="00AC7F3E" w:rsidRDefault="00303AC2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44" w:type="dxa"/>
            <w:vAlign w:val="center"/>
          </w:tcPr>
          <w:p w:rsidR="00303AC2" w:rsidRPr="00AC7F3E" w:rsidRDefault="00303AC2" w:rsidP="00700D1A">
            <w:pPr>
              <w:jc w:val="center"/>
              <w:rPr>
                <w:color w:val="000000" w:themeColor="text1"/>
              </w:rPr>
            </w:pPr>
            <w:r w:rsidRPr="00AC7F3E">
              <w:rPr>
                <w:color w:val="000000" w:themeColor="text1"/>
              </w:rPr>
              <w:t>91</w:t>
            </w:r>
          </w:p>
        </w:tc>
        <w:tc>
          <w:tcPr>
            <w:tcW w:w="1591" w:type="dxa"/>
            <w:tcBorders>
              <w:right w:val="single" w:sz="12" w:space="0" w:color="auto"/>
            </w:tcBorders>
            <w:vAlign w:val="center"/>
          </w:tcPr>
          <w:p w:rsidR="00303AC2" w:rsidRPr="00AC7F3E" w:rsidRDefault="00303AC2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85,6</w:t>
            </w:r>
          </w:p>
        </w:tc>
      </w:tr>
      <w:tr w:rsidR="00AC7F3E" w:rsidRPr="00AC7F3E" w:rsidTr="00AC7F3E">
        <w:tc>
          <w:tcPr>
            <w:tcW w:w="1048" w:type="dxa"/>
            <w:tcBorders>
              <w:left w:val="single" w:sz="12" w:space="0" w:color="auto"/>
            </w:tcBorders>
            <w:vAlign w:val="center"/>
          </w:tcPr>
          <w:p w:rsidR="00B11ECB" w:rsidRPr="00AC7F3E" w:rsidRDefault="00AC7F3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P5</w:t>
            </w:r>
          </w:p>
        </w:tc>
        <w:tc>
          <w:tcPr>
            <w:tcW w:w="3171" w:type="dxa"/>
          </w:tcPr>
          <w:p w:rsidR="00B11ECB" w:rsidRPr="00AC7F3E" w:rsidRDefault="00B11ECB" w:rsidP="00700D1A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nákladní auto (volnoběh)</w:t>
            </w:r>
          </w:p>
        </w:tc>
        <w:tc>
          <w:tcPr>
            <w:tcW w:w="1160" w:type="dxa"/>
          </w:tcPr>
          <w:p w:rsidR="00B11ECB" w:rsidRPr="00AC7F3E" w:rsidRDefault="00B11ECB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8" w:type="dxa"/>
          </w:tcPr>
          <w:p w:rsidR="00B11ECB" w:rsidRPr="00AC7F3E" w:rsidRDefault="00EF624C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6</w:t>
            </w:r>
          </w:p>
        </w:tc>
        <w:tc>
          <w:tcPr>
            <w:tcW w:w="1244" w:type="dxa"/>
            <w:vAlign w:val="center"/>
          </w:tcPr>
          <w:p w:rsidR="00B11ECB" w:rsidRPr="00AC7F3E" w:rsidRDefault="00EF624C" w:rsidP="00700D1A">
            <w:pPr>
              <w:jc w:val="center"/>
              <w:rPr>
                <w:color w:val="000000" w:themeColor="text1"/>
              </w:rPr>
            </w:pPr>
            <w:r w:rsidRPr="00AC7F3E">
              <w:rPr>
                <w:color w:val="000000" w:themeColor="text1"/>
              </w:rPr>
              <w:t>99</w:t>
            </w:r>
          </w:p>
        </w:tc>
        <w:tc>
          <w:tcPr>
            <w:tcW w:w="1591" w:type="dxa"/>
            <w:tcBorders>
              <w:right w:val="single" w:sz="12" w:space="0" w:color="auto"/>
            </w:tcBorders>
            <w:vAlign w:val="center"/>
          </w:tcPr>
          <w:p w:rsidR="00B11ECB" w:rsidRPr="00AC7F3E" w:rsidRDefault="00EF624C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96,6</w:t>
            </w:r>
          </w:p>
        </w:tc>
      </w:tr>
      <w:tr w:rsidR="00AC7F3E" w:rsidRPr="00AC7F3E" w:rsidTr="00AC7F3E">
        <w:tc>
          <w:tcPr>
            <w:tcW w:w="1048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B11ECB" w:rsidRPr="00AC7F3E" w:rsidRDefault="00AC7F3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P6</w:t>
            </w:r>
          </w:p>
        </w:tc>
        <w:tc>
          <w:tcPr>
            <w:tcW w:w="3171" w:type="dxa"/>
            <w:tcBorders>
              <w:bottom w:val="single" w:sz="4" w:space="0" w:color="auto"/>
            </w:tcBorders>
          </w:tcPr>
          <w:p w:rsidR="00B11ECB" w:rsidRPr="00AC7F3E" w:rsidRDefault="00B11ECB" w:rsidP="00E43E63">
            <w:pPr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autojeřáb (volnoběh)</w:t>
            </w:r>
          </w:p>
        </w:tc>
        <w:tc>
          <w:tcPr>
            <w:tcW w:w="1160" w:type="dxa"/>
            <w:tcBorders>
              <w:bottom w:val="single" w:sz="4" w:space="0" w:color="auto"/>
            </w:tcBorders>
          </w:tcPr>
          <w:p w:rsidR="00B11ECB" w:rsidRPr="00AC7F3E" w:rsidRDefault="00B11ECB" w:rsidP="00700D1A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</w:t>
            </w:r>
          </w:p>
        </w:tc>
        <w:tc>
          <w:tcPr>
            <w:tcW w:w="1428" w:type="dxa"/>
            <w:tcBorders>
              <w:bottom w:val="single" w:sz="4" w:space="0" w:color="auto"/>
            </w:tcBorders>
          </w:tcPr>
          <w:p w:rsidR="00B11ECB" w:rsidRPr="00AC7F3E" w:rsidRDefault="00971C26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8</w:t>
            </w:r>
          </w:p>
        </w:tc>
        <w:tc>
          <w:tcPr>
            <w:tcW w:w="1244" w:type="dxa"/>
            <w:tcBorders>
              <w:bottom w:val="single" w:sz="4" w:space="0" w:color="auto"/>
            </w:tcBorders>
            <w:vAlign w:val="center"/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101</w:t>
            </w:r>
          </w:p>
        </w:tc>
        <w:tc>
          <w:tcPr>
            <w:tcW w:w="1591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B11ECB" w:rsidRPr="00AC7F3E" w:rsidRDefault="00EF624C" w:rsidP="00E43E63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98</w:t>
            </w:r>
            <w:r w:rsidR="00971C26" w:rsidRPr="00AC7F3E">
              <w:rPr>
                <w:rFonts w:cs="Arial"/>
                <w:color w:val="000000" w:themeColor="text1"/>
              </w:rPr>
              <w:t>,6</w:t>
            </w:r>
          </w:p>
        </w:tc>
      </w:tr>
      <w:tr w:rsidR="00AC7F3E" w:rsidRPr="00AC7F3E" w:rsidTr="00AC7F3E">
        <w:tc>
          <w:tcPr>
            <w:tcW w:w="104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11ECB" w:rsidRPr="00AC7F3E" w:rsidRDefault="00AC7F3E" w:rsidP="00E43E63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P2,10,12</w:t>
            </w:r>
          </w:p>
        </w:tc>
        <w:tc>
          <w:tcPr>
            <w:tcW w:w="3171" w:type="dxa"/>
            <w:tcBorders>
              <w:top w:val="single" w:sz="4" w:space="0" w:color="auto"/>
            </w:tcBorders>
          </w:tcPr>
          <w:p w:rsidR="00B11ECB" w:rsidRPr="00AC7F3E" w:rsidRDefault="003168C2" w:rsidP="004E7B50">
            <w:pPr>
              <w:jc w:val="left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drobná stavební mechanizace</w:t>
            </w:r>
          </w:p>
        </w:tc>
        <w:tc>
          <w:tcPr>
            <w:tcW w:w="1160" w:type="dxa"/>
            <w:tcBorders>
              <w:top w:val="single" w:sz="4" w:space="0" w:color="auto"/>
            </w:tcBorders>
            <w:vAlign w:val="center"/>
          </w:tcPr>
          <w:p w:rsidR="00B11ECB" w:rsidRPr="00AC7F3E" w:rsidRDefault="00AC7F3E" w:rsidP="004E7B50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3</w:t>
            </w:r>
          </w:p>
        </w:tc>
        <w:tc>
          <w:tcPr>
            <w:tcW w:w="1428" w:type="dxa"/>
            <w:tcBorders>
              <w:top w:val="single" w:sz="4" w:space="0" w:color="auto"/>
            </w:tcBorders>
            <w:vAlign w:val="center"/>
          </w:tcPr>
          <w:p w:rsidR="00B11ECB" w:rsidRPr="00AC7F3E" w:rsidRDefault="00B11ECB" w:rsidP="004E7B50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:rsidR="00B11ECB" w:rsidRPr="00AC7F3E" w:rsidRDefault="00D741DD" w:rsidP="004E7B50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</w:t>
            </w:r>
            <w:r w:rsidR="003E0802" w:rsidRPr="00AC7F3E">
              <w:rPr>
                <w:rFonts w:cs="Arial"/>
                <w:color w:val="000000" w:themeColor="text1"/>
              </w:rPr>
              <w:t>5</w:t>
            </w:r>
          </w:p>
        </w:tc>
        <w:tc>
          <w:tcPr>
            <w:tcW w:w="159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11ECB" w:rsidRPr="00AC7F3E" w:rsidRDefault="003E0802" w:rsidP="004E7B50">
            <w:pPr>
              <w:jc w:val="center"/>
              <w:rPr>
                <w:rFonts w:cs="Arial"/>
                <w:color w:val="000000" w:themeColor="text1"/>
              </w:rPr>
            </w:pPr>
            <w:r w:rsidRPr="00AC7F3E">
              <w:rPr>
                <w:rFonts w:cs="Arial"/>
                <w:color w:val="000000" w:themeColor="text1"/>
              </w:rPr>
              <w:t>93,5</w:t>
            </w:r>
          </w:p>
        </w:tc>
      </w:tr>
      <w:tr w:rsidR="00B11ECB" w:rsidTr="00AC7F3E">
        <w:tc>
          <w:tcPr>
            <w:tcW w:w="1048" w:type="dxa"/>
            <w:tcBorders>
              <w:top w:val="single" w:sz="4" w:space="0" w:color="auto"/>
              <w:left w:val="single" w:sz="12" w:space="0" w:color="auto"/>
            </w:tcBorders>
            <w:vAlign w:val="center"/>
          </w:tcPr>
          <w:p w:rsidR="00B11ECB" w:rsidRPr="004D5D44" w:rsidRDefault="00AC7F3E" w:rsidP="00E43E63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P3, 7</w:t>
            </w:r>
          </w:p>
        </w:tc>
        <w:tc>
          <w:tcPr>
            <w:tcW w:w="3171" w:type="dxa"/>
            <w:tcBorders>
              <w:top w:val="single" w:sz="4" w:space="0" w:color="auto"/>
            </w:tcBorders>
          </w:tcPr>
          <w:p w:rsidR="00B11ECB" w:rsidRPr="004E7B50" w:rsidRDefault="00B11ECB" w:rsidP="00E43E63">
            <w:pPr>
              <w:rPr>
                <w:rFonts w:cs="Arial"/>
                <w:color w:val="000000" w:themeColor="text1"/>
              </w:rPr>
            </w:pPr>
            <w:r w:rsidRPr="004E7B50">
              <w:rPr>
                <w:color w:val="000000" w:themeColor="text1"/>
              </w:rPr>
              <w:t>stavební výtah</w:t>
            </w:r>
          </w:p>
        </w:tc>
        <w:tc>
          <w:tcPr>
            <w:tcW w:w="1160" w:type="dxa"/>
            <w:tcBorders>
              <w:top w:val="single" w:sz="4" w:space="0" w:color="auto"/>
            </w:tcBorders>
          </w:tcPr>
          <w:p w:rsidR="00B11ECB" w:rsidRPr="004E7B50" w:rsidRDefault="00AC7F3E" w:rsidP="00700D1A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428" w:type="dxa"/>
            <w:tcBorders>
              <w:top w:val="single" w:sz="4" w:space="0" w:color="auto"/>
            </w:tcBorders>
          </w:tcPr>
          <w:p w:rsidR="00B11ECB" w:rsidRPr="004E7B50" w:rsidRDefault="003E0802" w:rsidP="00E43E63">
            <w:pPr>
              <w:jc w:val="center"/>
              <w:rPr>
                <w:rFonts w:cs="Arial"/>
                <w:color w:val="000000" w:themeColor="text1"/>
              </w:rPr>
            </w:pPr>
            <w:r w:rsidRPr="004E7B50">
              <w:rPr>
                <w:rFonts w:cs="Arial"/>
                <w:color w:val="000000" w:themeColor="text1"/>
              </w:rPr>
              <w:t>10</w:t>
            </w:r>
          </w:p>
        </w:tc>
        <w:tc>
          <w:tcPr>
            <w:tcW w:w="1244" w:type="dxa"/>
            <w:tcBorders>
              <w:top w:val="single" w:sz="4" w:space="0" w:color="auto"/>
            </w:tcBorders>
            <w:vAlign w:val="center"/>
          </w:tcPr>
          <w:p w:rsidR="00B11ECB" w:rsidRPr="004E7B50" w:rsidRDefault="003E0802" w:rsidP="00E43E63">
            <w:pPr>
              <w:jc w:val="center"/>
              <w:rPr>
                <w:rFonts w:cs="Arial"/>
                <w:color w:val="000000" w:themeColor="text1"/>
              </w:rPr>
            </w:pPr>
            <w:r w:rsidRPr="004E7B50">
              <w:rPr>
                <w:rFonts w:cs="Arial"/>
                <w:color w:val="000000" w:themeColor="text1"/>
              </w:rPr>
              <w:t>81</w:t>
            </w:r>
          </w:p>
        </w:tc>
        <w:tc>
          <w:tcPr>
            <w:tcW w:w="1591" w:type="dxa"/>
            <w:tcBorders>
              <w:top w:val="single" w:sz="4" w:space="0" w:color="auto"/>
              <w:right w:val="single" w:sz="12" w:space="0" w:color="auto"/>
            </w:tcBorders>
            <w:vAlign w:val="center"/>
          </w:tcPr>
          <w:p w:rsidR="00B11ECB" w:rsidRPr="004E7B50" w:rsidRDefault="003E0802" w:rsidP="00E43E63">
            <w:pPr>
              <w:jc w:val="center"/>
              <w:rPr>
                <w:rFonts w:cs="Arial"/>
                <w:color w:val="000000" w:themeColor="text1"/>
              </w:rPr>
            </w:pPr>
            <w:r w:rsidRPr="004E7B50">
              <w:rPr>
                <w:rFonts w:cs="Arial"/>
                <w:color w:val="000000" w:themeColor="text1"/>
              </w:rPr>
              <w:t>79,5</w:t>
            </w:r>
          </w:p>
        </w:tc>
      </w:tr>
      <w:tr w:rsidR="003E0802" w:rsidTr="00AC7F3E">
        <w:tc>
          <w:tcPr>
            <w:tcW w:w="104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3E0802" w:rsidRPr="004D5D44" w:rsidRDefault="00AC7F3E" w:rsidP="00E43E63">
            <w:pPr>
              <w:jc w:val="center"/>
              <w:rPr>
                <w:rFonts w:cs="Arial"/>
                <w:color w:val="000000"/>
              </w:rPr>
            </w:pPr>
            <w:r>
              <w:rPr>
                <w:rFonts w:cs="Arial"/>
                <w:color w:val="000000"/>
              </w:rPr>
              <w:t>P1, 11</w:t>
            </w:r>
          </w:p>
        </w:tc>
        <w:tc>
          <w:tcPr>
            <w:tcW w:w="3171" w:type="dxa"/>
            <w:tcBorders>
              <w:bottom w:val="single" w:sz="12" w:space="0" w:color="auto"/>
            </w:tcBorders>
          </w:tcPr>
          <w:p w:rsidR="003E0802" w:rsidRPr="004E7B50" w:rsidRDefault="003E0802" w:rsidP="008E1766">
            <w:pPr>
              <w:rPr>
                <w:rFonts w:cs="Arial"/>
                <w:color w:val="000000" w:themeColor="text1"/>
              </w:rPr>
            </w:pPr>
            <w:r w:rsidRPr="004E7B50">
              <w:rPr>
                <w:rFonts w:cs="Arial"/>
                <w:color w:val="000000" w:themeColor="text1"/>
              </w:rPr>
              <w:t>el. svářečka</w:t>
            </w:r>
          </w:p>
        </w:tc>
        <w:tc>
          <w:tcPr>
            <w:tcW w:w="1160" w:type="dxa"/>
            <w:tcBorders>
              <w:bottom w:val="single" w:sz="12" w:space="0" w:color="auto"/>
            </w:tcBorders>
          </w:tcPr>
          <w:p w:rsidR="003E0802" w:rsidRPr="004E7B50" w:rsidRDefault="00AC7F3E" w:rsidP="008E1766">
            <w:pPr>
              <w:jc w:val="center"/>
              <w:rPr>
                <w:rFonts w:cs="Arial"/>
                <w:color w:val="000000" w:themeColor="text1"/>
              </w:rPr>
            </w:pPr>
            <w:r>
              <w:rPr>
                <w:rFonts w:cs="Arial"/>
                <w:color w:val="000000" w:themeColor="text1"/>
              </w:rPr>
              <w:t>2</w:t>
            </w:r>
          </w:p>
        </w:tc>
        <w:tc>
          <w:tcPr>
            <w:tcW w:w="1428" w:type="dxa"/>
            <w:tcBorders>
              <w:bottom w:val="single" w:sz="12" w:space="0" w:color="auto"/>
            </w:tcBorders>
          </w:tcPr>
          <w:p w:rsidR="003E0802" w:rsidRPr="004E7B50" w:rsidRDefault="003E0802" w:rsidP="008E1766">
            <w:pPr>
              <w:jc w:val="center"/>
              <w:rPr>
                <w:rFonts w:cs="Arial"/>
                <w:color w:val="000000" w:themeColor="text1"/>
              </w:rPr>
            </w:pPr>
            <w:r w:rsidRPr="004E7B50">
              <w:rPr>
                <w:rFonts w:cs="Arial"/>
                <w:color w:val="000000" w:themeColor="text1"/>
              </w:rPr>
              <w:t>4</w:t>
            </w:r>
          </w:p>
        </w:tc>
        <w:tc>
          <w:tcPr>
            <w:tcW w:w="1244" w:type="dxa"/>
            <w:tcBorders>
              <w:bottom w:val="single" w:sz="12" w:space="0" w:color="auto"/>
            </w:tcBorders>
            <w:vAlign w:val="center"/>
          </w:tcPr>
          <w:p w:rsidR="003E0802" w:rsidRPr="004E7B50" w:rsidRDefault="004E7B50" w:rsidP="008E1766">
            <w:pPr>
              <w:jc w:val="center"/>
              <w:rPr>
                <w:rFonts w:cs="Arial"/>
                <w:color w:val="000000" w:themeColor="text1"/>
              </w:rPr>
            </w:pPr>
            <w:r w:rsidRPr="004E7B50">
              <w:rPr>
                <w:rFonts w:cs="Arial"/>
                <w:color w:val="000000" w:themeColor="text1"/>
              </w:rPr>
              <w:t>100</w:t>
            </w:r>
          </w:p>
        </w:tc>
        <w:tc>
          <w:tcPr>
            <w:tcW w:w="159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3E0802" w:rsidRPr="004E7B50" w:rsidRDefault="004E7B50" w:rsidP="008E1766">
            <w:pPr>
              <w:jc w:val="center"/>
              <w:rPr>
                <w:rFonts w:cs="Arial"/>
                <w:color w:val="000000" w:themeColor="text1"/>
              </w:rPr>
            </w:pPr>
            <w:r w:rsidRPr="004E7B50">
              <w:rPr>
                <w:rFonts w:cs="Arial"/>
                <w:color w:val="000000" w:themeColor="text1"/>
              </w:rPr>
              <w:t>94,6</w:t>
            </w:r>
          </w:p>
        </w:tc>
      </w:tr>
    </w:tbl>
    <w:p w:rsidR="00217579" w:rsidRPr="009C08A7" w:rsidRDefault="00217579" w:rsidP="00217579">
      <w:pPr>
        <w:spacing w:before="120"/>
        <w:ind w:firstLine="708"/>
        <w:jc w:val="both"/>
        <w:rPr>
          <w:color w:val="000000"/>
          <w:sz w:val="6"/>
          <w:szCs w:val="6"/>
        </w:rPr>
      </w:pPr>
    </w:p>
    <w:bookmarkEnd w:id="48"/>
    <w:p w:rsidR="00081E8E" w:rsidRPr="00083F25" w:rsidRDefault="00081E8E" w:rsidP="00081E8E">
      <w:pPr>
        <w:spacing w:before="120"/>
        <w:jc w:val="both"/>
        <w:rPr>
          <w:rFonts w:cs="Arial"/>
          <w:color w:val="000000"/>
        </w:rPr>
      </w:pPr>
      <w:r w:rsidRPr="00081E8E">
        <w:rPr>
          <w:rFonts w:eastAsia="SimSun"/>
          <w:color w:val="000000"/>
          <w:u w:val="single"/>
        </w:rPr>
        <w:t>Poznámka</w:t>
      </w:r>
      <w:r>
        <w:rPr>
          <w:rFonts w:eastAsia="SimSun"/>
          <w:color w:val="000000"/>
        </w:rPr>
        <w:t>: A</w:t>
      </w:r>
      <w:r w:rsidRPr="00083F25">
        <w:rPr>
          <w:rFonts w:cs="Arial"/>
          <w:color w:val="000000"/>
        </w:rPr>
        <w:t xml:space="preserve">kustický tlak korigovaný na předpokládanou provozní dobu jednotlivých mechanizmů </w:t>
      </w:r>
      <w:r>
        <w:rPr>
          <w:rFonts w:cs="Arial"/>
          <w:color w:val="000000"/>
        </w:rPr>
        <w:t xml:space="preserve">je odvozen na základě </w:t>
      </w:r>
      <w:r w:rsidRPr="00083F25">
        <w:rPr>
          <w:rFonts w:cs="Arial"/>
          <w:color w:val="000000"/>
        </w:rPr>
        <w:t>vztahu:</w:t>
      </w:r>
    </w:p>
    <w:p w:rsidR="00081E8E" w:rsidRPr="00083F25" w:rsidRDefault="00081E8E" w:rsidP="00081E8E">
      <w:pPr>
        <w:ind w:firstLine="708"/>
        <w:jc w:val="both"/>
        <w:rPr>
          <w:rFonts w:cs="Arial"/>
          <w:color w:val="000000"/>
          <w:sz w:val="12"/>
          <w:szCs w:val="12"/>
        </w:rPr>
      </w:pPr>
    </w:p>
    <w:p w:rsidR="00081E8E" w:rsidRPr="00083F25" w:rsidRDefault="00081E8E" w:rsidP="00081E8E">
      <w:pPr>
        <w:pStyle w:val="Zkladntext"/>
        <w:ind w:left="1415"/>
        <w:jc w:val="both"/>
        <w:rPr>
          <w:bCs/>
          <w:color w:val="000000"/>
          <w:sz w:val="26"/>
          <w:szCs w:val="26"/>
        </w:rPr>
      </w:pPr>
      <w:r w:rsidRPr="00083F25">
        <w:rPr>
          <w:bCs/>
          <w:color w:val="000000"/>
          <w:sz w:val="26"/>
          <w:szCs w:val="26"/>
        </w:rPr>
        <w:t>L</w:t>
      </w:r>
      <w:r w:rsidRPr="00083F25">
        <w:rPr>
          <w:bCs/>
          <w:color w:val="000000"/>
          <w:sz w:val="26"/>
          <w:szCs w:val="26"/>
          <w:vertAlign w:val="subscript"/>
        </w:rPr>
        <w:t>wA korig</w:t>
      </w:r>
      <w:r w:rsidRPr="00083F25">
        <w:rPr>
          <w:bCs/>
          <w:color w:val="000000"/>
          <w:sz w:val="26"/>
          <w:szCs w:val="26"/>
        </w:rPr>
        <w:t xml:space="preserve"> = 10 . log (t</w:t>
      </w:r>
      <w:r w:rsidRPr="00083F25">
        <w:rPr>
          <w:bCs/>
          <w:color w:val="000000"/>
          <w:sz w:val="26"/>
          <w:szCs w:val="26"/>
          <w:vertAlign w:val="subscript"/>
        </w:rPr>
        <w:t>1</w:t>
      </w:r>
      <w:r w:rsidRPr="00083F25">
        <w:rPr>
          <w:bCs/>
          <w:color w:val="000000"/>
          <w:sz w:val="26"/>
          <w:szCs w:val="26"/>
        </w:rPr>
        <w:t>/t</w:t>
      </w:r>
      <w:r w:rsidRPr="00083F25">
        <w:rPr>
          <w:bCs/>
          <w:color w:val="000000"/>
          <w:sz w:val="26"/>
          <w:szCs w:val="26"/>
          <w:vertAlign w:val="subscript"/>
        </w:rPr>
        <w:t>0</w:t>
      </w:r>
      <w:r w:rsidRPr="00083F25">
        <w:rPr>
          <w:bCs/>
          <w:color w:val="000000"/>
          <w:sz w:val="26"/>
          <w:szCs w:val="26"/>
        </w:rPr>
        <w:t xml:space="preserve"> . 10</w:t>
      </w:r>
      <w:r w:rsidRPr="00083F25">
        <w:rPr>
          <w:bCs/>
          <w:color w:val="000000"/>
          <w:sz w:val="26"/>
          <w:szCs w:val="26"/>
          <w:vertAlign w:val="superscript"/>
        </w:rPr>
        <w:t>0,1.LwA</w:t>
      </w:r>
      <w:r w:rsidRPr="00083F25">
        <w:rPr>
          <w:bCs/>
          <w:color w:val="000000"/>
          <w:sz w:val="26"/>
          <w:szCs w:val="26"/>
        </w:rPr>
        <w:t xml:space="preserve">)  </w:t>
      </w:r>
    </w:p>
    <w:p w:rsidR="00081E8E" w:rsidRPr="00083F25" w:rsidRDefault="00081E8E" w:rsidP="00081E8E">
      <w:pPr>
        <w:pStyle w:val="Zkladntext"/>
        <w:ind w:left="1415"/>
        <w:jc w:val="both"/>
        <w:rPr>
          <w:bCs/>
          <w:color w:val="000000"/>
          <w:sz w:val="12"/>
          <w:szCs w:val="12"/>
        </w:rPr>
      </w:pPr>
      <w:r w:rsidRPr="00083F25">
        <w:rPr>
          <w:bCs/>
          <w:color w:val="000000"/>
          <w:sz w:val="24"/>
          <w:szCs w:val="24"/>
        </w:rPr>
        <w:t xml:space="preserve"> </w:t>
      </w:r>
    </w:p>
    <w:p w:rsidR="00081E8E" w:rsidRPr="00083F25" w:rsidRDefault="00081E8E" w:rsidP="00081E8E">
      <w:pPr>
        <w:pStyle w:val="Zkladntext"/>
        <w:spacing w:before="120"/>
        <w:jc w:val="both"/>
        <w:rPr>
          <w:color w:val="000000"/>
          <w:sz w:val="24"/>
          <w:szCs w:val="24"/>
        </w:rPr>
      </w:pPr>
      <w:r w:rsidRPr="00083F25">
        <w:rPr>
          <w:color w:val="000000"/>
          <w:sz w:val="24"/>
          <w:szCs w:val="24"/>
        </w:rPr>
        <w:t>kde</w:t>
      </w:r>
      <w:r w:rsidRPr="00083F25">
        <w:rPr>
          <w:color w:val="000000"/>
          <w:sz w:val="24"/>
          <w:szCs w:val="24"/>
        </w:rPr>
        <w:tab/>
      </w:r>
      <w:r w:rsidRPr="00083F25">
        <w:rPr>
          <w:color w:val="000000"/>
          <w:sz w:val="24"/>
          <w:szCs w:val="24"/>
        </w:rPr>
        <w:tab/>
        <w:t>t</w:t>
      </w:r>
      <w:r w:rsidRPr="00083F25">
        <w:rPr>
          <w:color w:val="000000"/>
          <w:sz w:val="24"/>
          <w:szCs w:val="24"/>
          <w:vertAlign w:val="subscript"/>
        </w:rPr>
        <w:t>1</w:t>
      </w:r>
      <w:r w:rsidRPr="00083F25">
        <w:rPr>
          <w:color w:val="000000"/>
          <w:sz w:val="24"/>
          <w:szCs w:val="24"/>
        </w:rPr>
        <w:t xml:space="preserve"> je doba skutečného nasazení stroje v hod/den</w:t>
      </w:r>
    </w:p>
    <w:p w:rsidR="00081E8E" w:rsidRPr="00083F25" w:rsidRDefault="00081E8E" w:rsidP="00081E8E">
      <w:pPr>
        <w:pStyle w:val="Zkladntext"/>
        <w:jc w:val="both"/>
        <w:rPr>
          <w:color w:val="000000"/>
          <w:sz w:val="24"/>
          <w:szCs w:val="24"/>
        </w:rPr>
      </w:pPr>
      <w:r w:rsidRPr="00083F25">
        <w:rPr>
          <w:color w:val="000000"/>
          <w:sz w:val="24"/>
          <w:szCs w:val="24"/>
        </w:rPr>
        <w:tab/>
      </w:r>
      <w:r w:rsidRPr="00083F25">
        <w:rPr>
          <w:color w:val="000000"/>
          <w:sz w:val="24"/>
          <w:szCs w:val="24"/>
        </w:rPr>
        <w:tab/>
        <w:t>t</w:t>
      </w:r>
      <w:r w:rsidRPr="00083F25">
        <w:rPr>
          <w:color w:val="000000"/>
          <w:sz w:val="24"/>
          <w:szCs w:val="24"/>
          <w:vertAlign w:val="subscript"/>
        </w:rPr>
        <w:t>0</w:t>
      </w:r>
      <w:r w:rsidRPr="00083F25">
        <w:rPr>
          <w:color w:val="000000"/>
          <w:sz w:val="24"/>
          <w:szCs w:val="24"/>
        </w:rPr>
        <w:t xml:space="preserve"> je čas provozu stroje během 14 hodin stavební činnosti </w:t>
      </w:r>
    </w:p>
    <w:p w:rsidR="00081E8E" w:rsidRPr="00083F25" w:rsidRDefault="00081E8E" w:rsidP="00081E8E">
      <w:pPr>
        <w:ind w:firstLine="708"/>
        <w:jc w:val="both"/>
        <w:rPr>
          <w:color w:val="000000"/>
        </w:rPr>
      </w:pPr>
      <w:r>
        <w:rPr>
          <w:color w:val="000000"/>
        </w:rPr>
        <w:t xml:space="preserve">           </w:t>
      </w:r>
      <w:r w:rsidRPr="00083F25">
        <w:rPr>
          <w:color w:val="000000"/>
        </w:rPr>
        <w:t>L</w:t>
      </w:r>
      <w:r w:rsidRPr="00083F25">
        <w:rPr>
          <w:color w:val="000000"/>
          <w:vertAlign w:val="subscript"/>
        </w:rPr>
        <w:t>WA</w:t>
      </w:r>
      <w:r w:rsidRPr="00083F25">
        <w:rPr>
          <w:color w:val="000000"/>
        </w:rPr>
        <w:t xml:space="preserve"> je akustický výkon zdroje</w:t>
      </w:r>
    </w:p>
    <w:p w:rsidR="00043CC0" w:rsidRDefault="007F1386" w:rsidP="00043CC0">
      <w:pPr>
        <w:pStyle w:val="Tabulka"/>
        <w:spacing w:before="240" w:after="0"/>
        <w:rPr>
          <w:i w:val="0"/>
          <w:color w:val="000000"/>
        </w:rPr>
      </w:pPr>
      <w:r w:rsidRPr="007F1386">
        <w:rPr>
          <w:i w:val="0"/>
          <w:color w:val="000000"/>
        </w:rPr>
        <w:t xml:space="preserve">Reprezentativní </w:t>
      </w:r>
      <w:r>
        <w:rPr>
          <w:i w:val="0"/>
          <w:color w:val="000000"/>
        </w:rPr>
        <w:t>u</w:t>
      </w:r>
      <w:r w:rsidR="00043CC0">
        <w:rPr>
          <w:i w:val="0"/>
          <w:color w:val="000000"/>
        </w:rPr>
        <w:t xml:space="preserve">místění jednotlivých stavebních mechanizmů uvažované ve výpočtovém modelu je zobrazeno na mapách </w:t>
      </w:r>
      <w:r w:rsidR="00043CC0" w:rsidRPr="00AD753A">
        <w:rPr>
          <w:i w:val="0"/>
          <w:color w:val="000000"/>
        </w:rPr>
        <w:t>hlukov</w:t>
      </w:r>
      <w:r w:rsidR="00043CC0">
        <w:rPr>
          <w:i w:val="0"/>
          <w:color w:val="000000"/>
        </w:rPr>
        <w:t>ých</w:t>
      </w:r>
      <w:r w:rsidR="00043CC0" w:rsidRPr="00AD753A">
        <w:rPr>
          <w:i w:val="0"/>
          <w:color w:val="000000"/>
        </w:rPr>
        <w:t xml:space="preserve"> </w:t>
      </w:r>
      <w:r w:rsidR="00043CC0" w:rsidRPr="007F1386">
        <w:rPr>
          <w:i w:val="0"/>
          <w:color w:val="000000" w:themeColor="text1"/>
        </w:rPr>
        <w:t>pásem (obrázky č.</w:t>
      </w:r>
      <w:r w:rsidRPr="007F1386">
        <w:rPr>
          <w:i w:val="0"/>
          <w:color w:val="000000" w:themeColor="text1"/>
        </w:rPr>
        <w:t>2 až 5</w:t>
      </w:r>
      <w:r w:rsidR="00043CC0" w:rsidRPr="007F1386">
        <w:rPr>
          <w:i w:val="0"/>
          <w:color w:val="000000" w:themeColor="text1"/>
        </w:rPr>
        <w:t xml:space="preserve">) v přílohové </w:t>
      </w:r>
      <w:r w:rsidR="00043CC0" w:rsidRPr="00876F72">
        <w:rPr>
          <w:i w:val="0"/>
          <w:color w:val="000000"/>
        </w:rPr>
        <w:t xml:space="preserve">části této studie. </w:t>
      </w:r>
    </w:p>
    <w:p w:rsidR="00953BF8" w:rsidRDefault="00953BF8" w:rsidP="009C08A7">
      <w:pPr>
        <w:spacing w:before="120"/>
        <w:jc w:val="both"/>
        <w:rPr>
          <w:color w:val="000000"/>
        </w:rPr>
      </w:pPr>
      <w:r>
        <w:rPr>
          <w:b/>
          <w:color w:val="000000"/>
        </w:rPr>
        <w:t>Obslužná s</w:t>
      </w:r>
      <w:r w:rsidRPr="00DB4815">
        <w:rPr>
          <w:b/>
          <w:color w:val="000000"/>
        </w:rPr>
        <w:t>taveništní doprava</w:t>
      </w:r>
      <w:r w:rsidRPr="00DB4815">
        <w:rPr>
          <w:color w:val="000000"/>
        </w:rPr>
        <w:t xml:space="preserve"> bude trasována </w:t>
      </w:r>
      <w:r w:rsidR="00BE609F">
        <w:rPr>
          <w:color w:val="000000"/>
        </w:rPr>
        <w:t xml:space="preserve">po areálových komunikacích </w:t>
      </w:r>
      <w:r w:rsidRPr="00DB4815">
        <w:rPr>
          <w:color w:val="000000"/>
        </w:rPr>
        <w:t>průmyslov</w:t>
      </w:r>
      <w:r>
        <w:rPr>
          <w:color w:val="000000"/>
        </w:rPr>
        <w:t xml:space="preserve">ého </w:t>
      </w:r>
      <w:r w:rsidRPr="00DB4815">
        <w:rPr>
          <w:color w:val="000000"/>
        </w:rPr>
        <w:t>areál</w:t>
      </w:r>
      <w:r>
        <w:rPr>
          <w:color w:val="000000"/>
        </w:rPr>
        <w:t>u</w:t>
      </w:r>
      <w:r w:rsidRPr="00DB4815">
        <w:rPr>
          <w:color w:val="000000"/>
        </w:rPr>
        <w:t xml:space="preserve"> na ul. Křížová (nájezd u hlavní budovy ČSSZ – Křížová 25) a dále ve směru Radlická a </w:t>
      </w:r>
      <w:r>
        <w:rPr>
          <w:color w:val="000000"/>
        </w:rPr>
        <w:t xml:space="preserve">na </w:t>
      </w:r>
      <w:r w:rsidRPr="00DB4815">
        <w:rPr>
          <w:color w:val="000000"/>
        </w:rPr>
        <w:t>vyšší komunikační síť v závislosti na poloze smluvních skládek stavebního odpadu</w:t>
      </w:r>
      <w:r>
        <w:rPr>
          <w:color w:val="000000"/>
        </w:rPr>
        <w:t xml:space="preserve">, </w:t>
      </w:r>
      <w:r w:rsidRPr="00866351">
        <w:rPr>
          <w:color w:val="000000"/>
        </w:rPr>
        <w:t>resp. zdrojů</w:t>
      </w:r>
      <w:r w:rsidRPr="00AD0D37">
        <w:rPr>
          <w:color w:val="000000"/>
        </w:rPr>
        <w:t xml:space="preserve"> betonové směsi</w:t>
      </w:r>
      <w:r w:rsidRPr="00DB4815">
        <w:rPr>
          <w:color w:val="000000"/>
        </w:rPr>
        <w:t>.</w:t>
      </w:r>
      <w:r>
        <w:rPr>
          <w:color w:val="000000"/>
        </w:rPr>
        <w:t xml:space="preserve"> </w:t>
      </w:r>
    </w:p>
    <w:p w:rsidR="00953BF8" w:rsidRDefault="00953BF8" w:rsidP="00953BF8">
      <w:pPr>
        <w:spacing w:before="120"/>
        <w:jc w:val="both"/>
        <w:rPr>
          <w:color w:val="000000"/>
        </w:rPr>
      </w:pPr>
      <w:r w:rsidRPr="00AD0D37">
        <w:rPr>
          <w:color w:val="000000"/>
        </w:rPr>
        <w:t>Předpokládaná intenzita staveništní dopravy v</w:t>
      </w:r>
      <w:r>
        <w:rPr>
          <w:color w:val="000000"/>
        </w:rPr>
        <w:t>e fázi demolic a n</w:t>
      </w:r>
      <w:r w:rsidR="00526D85">
        <w:rPr>
          <w:color w:val="000000"/>
        </w:rPr>
        <w:t>adstavby</w:t>
      </w:r>
      <w:r>
        <w:rPr>
          <w:color w:val="000000"/>
        </w:rPr>
        <w:t xml:space="preserve"> 6. NP, kdy bude odváženo/naváženo nejvíce materiálu bude 20</w:t>
      </w:r>
      <w:r w:rsidRPr="00AD0D37">
        <w:rPr>
          <w:color w:val="000000"/>
        </w:rPr>
        <w:t xml:space="preserve"> jízd </w:t>
      </w:r>
      <w:r>
        <w:rPr>
          <w:color w:val="000000"/>
        </w:rPr>
        <w:t xml:space="preserve">těžkých nákladních automobilů </w:t>
      </w:r>
      <w:r w:rsidRPr="00AD0D37">
        <w:rPr>
          <w:color w:val="000000"/>
        </w:rPr>
        <w:t>denně</w:t>
      </w:r>
      <w:r>
        <w:rPr>
          <w:color w:val="000000"/>
        </w:rPr>
        <w:t xml:space="preserve"> v obou směrech</w:t>
      </w:r>
      <w:r w:rsidR="00BE609F">
        <w:rPr>
          <w:color w:val="000000"/>
        </w:rPr>
        <w:t>, tzn. 2 NA/hod</w:t>
      </w:r>
      <w:r>
        <w:rPr>
          <w:color w:val="000000"/>
        </w:rPr>
        <w:t>. V dalších fázích výstavby bude intenzita dopravy nižší.</w:t>
      </w:r>
    </w:p>
    <w:p w:rsidR="007F1386" w:rsidRDefault="007F1386" w:rsidP="00953BF8">
      <w:pPr>
        <w:spacing w:before="120"/>
        <w:jc w:val="both"/>
        <w:rPr>
          <w:color w:val="000000"/>
        </w:rPr>
      </w:pPr>
    </w:p>
    <w:p w:rsidR="007F1386" w:rsidRDefault="007F1386" w:rsidP="00953BF8">
      <w:pPr>
        <w:spacing w:before="120"/>
        <w:jc w:val="both"/>
        <w:rPr>
          <w:color w:val="000000"/>
        </w:rPr>
      </w:pPr>
    </w:p>
    <w:p w:rsidR="007F1386" w:rsidRDefault="007F1386" w:rsidP="00953BF8">
      <w:pPr>
        <w:spacing w:before="120"/>
        <w:jc w:val="both"/>
        <w:rPr>
          <w:color w:val="000000"/>
        </w:rPr>
      </w:pPr>
    </w:p>
    <w:p w:rsidR="007F1386" w:rsidRPr="00DB4815" w:rsidRDefault="007F1386" w:rsidP="00953BF8">
      <w:pPr>
        <w:spacing w:before="120"/>
        <w:jc w:val="both"/>
        <w:rPr>
          <w:color w:val="000000"/>
        </w:rPr>
      </w:pPr>
    </w:p>
    <w:p w:rsidR="00953BF8" w:rsidRDefault="00953BF8" w:rsidP="00953BF8">
      <w:pPr>
        <w:jc w:val="both"/>
        <w:rPr>
          <w:rFonts w:ascii="Calibri" w:hAnsi="Calibri" w:cs="Calibri"/>
        </w:rPr>
      </w:pPr>
    </w:p>
    <w:p w:rsidR="00DB01E2" w:rsidRPr="00141620" w:rsidRDefault="00DB01E2" w:rsidP="00141620">
      <w:pPr>
        <w:pStyle w:val="Nadpis1"/>
        <w:spacing w:before="120" w:after="0"/>
        <w:rPr>
          <w:rFonts w:ascii="Times New Roman" w:hAnsi="Times New Roman" w:cs="Times New Roman"/>
          <w:bCs w:val="0"/>
          <w:color w:val="000000"/>
        </w:rPr>
      </w:pPr>
      <w:bookmarkStart w:id="49" w:name="_Toc275182543"/>
      <w:bookmarkStart w:id="50" w:name="_Toc410379011"/>
      <w:r w:rsidRPr="00141620">
        <w:rPr>
          <w:rFonts w:ascii="Times New Roman" w:hAnsi="Times New Roman" w:cs="Times New Roman"/>
          <w:bCs w:val="0"/>
          <w:color w:val="000000"/>
        </w:rPr>
        <w:t>8.</w:t>
      </w:r>
      <w:r w:rsidR="00F47840" w:rsidRPr="00141620">
        <w:rPr>
          <w:rFonts w:ascii="Times New Roman" w:hAnsi="Times New Roman" w:cs="Times New Roman"/>
          <w:bCs w:val="0"/>
          <w:color w:val="000000"/>
        </w:rPr>
        <w:t xml:space="preserve"> </w:t>
      </w:r>
      <w:r w:rsidRPr="00141620">
        <w:rPr>
          <w:rFonts w:ascii="Times New Roman" w:hAnsi="Times New Roman" w:cs="Times New Roman"/>
          <w:bCs w:val="0"/>
          <w:color w:val="000000"/>
        </w:rPr>
        <w:t>Vý</w:t>
      </w:r>
      <w:r w:rsidR="00F47840" w:rsidRPr="00141620">
        <w:rPr>
          <w:rFonts w:ascii="Times New Roman" w:hAnsi="Times New Roman" w:cs="Times New Roman"/>
          <w:bCs w:val="0"/>
          <w:color w:val="000000"/>
        </w:rPr>
        <w:t xml:space="preserve">sledky </w:t>
      </w:r>
      <w:r w:rsidR="00141620">
        <w:rPr>
          <w:rFonts w:ascii="Times New Roman" w:hAnsi="Times New Roman" w:cs="Times New Roman"/>
          <w:bCs w:val="0"/>
          <w:color w:val="000000"/>
        </w:rPr>
        <w:t>posouzení hlukové zátěže</w:t>
      </w:r>
      <w:bookmarkEnd w:id="49"/>
      <w:bookmarkEnd w:id="50"/>
    </w:p>
    <w:p w:rsidR="00DB01E2" w:rsidRDefault="00DB01E2" w:rsidP="001636C1">
      <w:pPr>
        <w:pStyle w:val="Zkladntextodsazen2"/>
        <w:spacing w:before="120" w:after="120"/>
        <w:ind w:left="0" w:firstLine="0"/>
      </w:pPr>
      <w:r w:rsidRPr="000775D7">
        <w:rPr>
          <w:color w:val="000000"/>
        </w:rPr>
        <w:t xml:space="preserve">Následující tabulky uvádí očekávané hlukové zatížení </w:t>
      </w:r>
      <w:r w:rsidR="003D3FB5">
        <w:rPr>
          <w:color w:val="000000"/>
        </w:rPr>
        <w:t xml:space="preserve">v chráněném venkovním prostoru </w:t>
      </w:r>
      <w:r w:rsidR="001636C1">
        <w:rPr>
          <w:color w:val="000000"/>
        </w:rPr>
        <w:t xml:space="preserve">bytové </w:t>
      </w:r>
      <w:r w:rsidRPr="000775D7">
        <w:rPr>
          <w:color w:val="000000"/>
        </w:rPr>
        <w:t xml:space="preserve">zástavby v blízkém okolí </w:t>
      </w:r>
      <w:r w:rsidR="003D3FB5">
        <w:rPr>
          <w:color w:val="000000"/>
        </w:rPr>
        <w:t xml:space="preserve">rekonstruované budovy ČSSZ, a to </w:t>
      </w:r>
      <w:r w:rsidRPr="003F2219">
        <w:rPr>
          <w:color w:val="000000"/>
        </w:rPr>
        <w:t xml:space="preserve">z </w:t>
      </w:r>
      <w:r w:rsidRPr="003F2219">
        <w:rPr>
          <w:rFonts w:cs="Arial"/>
          <w:color w:val="000000"/>
          <w:szCs w:val="24"/>
        </w:rPr>
        <w:t xml:space="preserve">nejhlučnějších </w:t>
      </w:r>
      <w:r w:rsidR="003D3FB5">
        <w:rPr>
          <w:rFonts w:cs="Arial"/>
          <w:color w:val="000000"/>
          <w:szCs w:val="24"/>
        </w:rPr>
        <w:t xml:space="preserve">fází </w:t>
      </w:r>
      <w:r w:rsidRPr="003F2219">
        <w:rPr>
          <w:rFonts w:cs="Arial"/>
          <w:color w:val="000000"/>
          <w:szCs w:val="24"/>
        </w:rPr>
        <w:t xml:space="preserve">stavebních prací, </w:t>
      </w:r>
      <w:r w:rsidR="003D3FB5">
        <w:rPr>
          <w:rFonts w:cs="Arial"/>
          <w:color w:val="000000"/>
          <w:szCs w:val="24"/>
        </w:rPr>
        <w:t>demolice části střechy budovy a nástavby 6. NP</w:t>
      </w:r>
      <w:r w:rsidR="00592296">
        <w:rPr>
          <w:rFonts w:cs="Arial"/>
          <w:color w:val="000000"/>
          <w:szCs w:val="24"/>
        </w:rPr>
        <w:t xml:space="preserve"> a dále zatížení z obslužné staveništní dopravy</w:t>
      </w:r>
      <w:r>
        <w:t>.</w:t>
      </w:r>
    </w:p>
    <w:p w:rsidR="005C5628" w:rsidRPr="003D3FB5" w:rsidRDefault="005C5628" w:rsidP="009C08A7">
      <w:pPr>
        <w:pStyle w:val="Zkladntextodsazen2"/>
        <w:spacing w:before="120"/>
        <w:ind w:left="0" w:firstLine="0"/>
        <w:rPr>
          <w:color w:val="FF0000"/>
        </w:rPr>
      </w:pPr>
      <w:r w:rsidRPr="00B87B48">
        <w:rPr>
          <w:color w:val="000000"/>
        </w:rPr>
        <w:t>Grafické</w:t>
      </w:r>
      <w:r w:rsidRPr="001A0A8A">
        <w:t xml:space="preserve"> znázornění </w:t>
      </w:r>
      <w:r>
        <w:t xml:space="preserve">výsledků formou hlukových pásem </w:t>
      </w:r>
      <w:r w:rsidR="00AB286C">
        <w:t xml:space="preserve">v úrovni 2. a 3. nadzemního podlaží nejbližších bytových domů </w:t>
      </w:r>
      <w:r w:rsidRPr="003F2219">
        <w:rPr>
          <w:color w:val="000000"/>
        </w:rPr>
        <w:t xml:space="preserve">je prezentováno </w:t>
      </w:r>
      <w:r w:rsidRPr="00AB286C">
        <w:rPr>
          <w:color w:val="000000" w:themeColor="text1"/>
        </w:rPr>
        <w:t>na obrázcích č.</w:t>
      </w:r>
      <w:r w:rsidR="00AB286C" w:rsidRPr="00AB286C">
        <w:rPr>
          <w:color w:val="000000" w:themeColor="text1"/>
        </w:rPr>
        <w:t>2</w:t>
      </w:r>
      <w:r w:rsidRPr="00AB286C">
        <w:rPr>
          <w:color w:val="000000" w:themeColor="text1"/>
        </w:rPr>
        <w:t xml:space="preserve"> </w:t>
      </w:r>
      <w:r w:rsidR="00FD17E4">
        <w:rPr>
          <w:color w:val="000000" w:themeColor="text1"/>
        </w:rPr>
        <w:t>až</w:t>
      </w:r>
      <w:r w:rsidRPr="00AB286C">
        <w:rPr>
          <w:color w:val="000000" w:themeColor="text1"/>
        </w:rPr>
        <w:t xml:space="preserve"> </w:t>
      </w:r>
      <w:r w:rsidR="009F137B">
        <w:rPr>
          <w:color w:val="000000" w:themeColor="text1"/>
        </w:rPr>
        <w:t>5</w:t>
      </w:r>
      <w:r w:rsidRPr="00AB286C">
        <w:rPr>
          <w:color w:val="000000" w:themeColor="text1"/>
        </w:rPr>
        <w:t xml:space="preserve"> v přílohové </w:t>
      </w:r>
      <w:r w:rsidRPr="00BF63B1">
        <w:rPr>
          <w:color w:val="000000" w:themeColor="text1"/>
        </w:rPr>
        <w:t xml:space="preserve">části této studie. </w:t>
      </w:r>
    </w:p>
    <w:p w:rsidR="001E35E7" w:rsidRDefault="00DB01E2" w:rsidP="009C08A7">
      <w:pPr>
        <w:pStyle w:val="Tabulka"/>
        <w:spacing w:before="240"/>
        <w:jc w:val="left"/>
        <w:rPr>
          <w:color w:val="000000"/>
        </w:rPr>
      </w:pPr>
      <w:r>
        <w:rPr>
          <w:color w:val="000000"/>
        </w:rPr>
        <w:t>Ta</w:t>
      </w:r>
      <w:r w:rsidRPr="003F2219">
        <w:rPr>
          <w:color w:val="000000"/>
        </w:rPr>
        <w:t xml:space="preserve">bulka </w:t>
      </w:r>
      <w:r w:rsidR="003D3FB5">
        <w:rPr>
          <w:color w:val="000000"/>
        </w:rPr>
        <w:t>5</w:t>
      </w:r>
      <w:r w:rsidRPr="003F2219">
        <w:rPr>
          <w:color w:val="000000"/>
        </w:rPr>
        <w:t xml:space="preserve"> – </w:t>
      </w:r>
      <w:r>
        <w:rPr>
          <w:color w:val="000000"/>
        </w:rPr>
        <w:t>H</w:t>
      </w:r>
      <w:r w:rsidRPr="003F2219">
        <w:rPr>
          <w:color w:val="000000"/>
        </w:rPr>
        <w:t xml:space="preserve">lukové zatížení </w:t>
      </w:r>
      <w:r w:rsidR="00D87D8B">
        <w:rPr>
          <w:color w:val="000000"/>
        </w:rPr>
        <w:t>ve fázi demolice střechy</w:t>
      </w:r>
      <w:r>
        <w:rPr>
          <w:color w:val="000000"/>
        </w:rPr>
        <w:t xml:space="preserve"> </w:t>
      </w:r>
      <w:r w:rsidR="0084721C">
        <w:rPr>
          <w:color w:val="000000"/>
        </w:rPr>
        <w:t xml:space="preserve">(bez a s provedením protihlukových opatření - PHO) </w:t>
      </w:r>
      <w:r>
        <w:rPr>
          <w:color w:val="000000"/>
        </w:rPr>
        <w:t>- dopadající hluk</w:t>
      </w:r>
    </w:p>
    <w:tbl>
      <w:tblPr>
        <w:tblW w:w="9155" w:type="dxa"/>
        <w:tblInd w:w="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25"/>
        <w:gridCol w:w="755"/>
        <w:gridCol w:w="1052"/>
        <w:gridCol w:w="849"/>
        <w:gridCol w:w="717"/>
        <w:gridCol w:w="809"/>
        <w:gridCol w:w="1022"/>
        <w:gridCol w:w="904"/>
        <w:gridCol w:w="1131"/>
        <w:gridCol w:w="1191"/>
      </w:tblGrid>
      <w:tr w:rsidR="00FD6172" w:rsidRPr="007B25EC" w:rsidTr="00FD6172">
        <w:trPr>
          <w:trHeight w:val="405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č. bodu</w:t>
            </w:r>
          </w:p>
        </w:tc>
        <w:tc>
          <w:tcPr>
            <w:tcW w:w="75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výška (m)</w:t>
            </w:r>
          </w:p>
        </w:tc>
        <w:tc>
          <w:tcPr>
            <w:tcW w:w="1052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849" w:type="dxa"/>
            <w:shd w:val="clear" w:color="auto" w:fill="D9D9D9" w:themeFill="background1" w:themeFillShade="D9"/>
            <w:vAlign w:val="center"/>
          </w:tcPr>
          <w:p w:rsidR="00FD6172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>
              <w:rPr>
                <w:b/>
                <w:color w:val="000000"/>
                <w:sz w:val="20"/>
                <w:szCs w:val="20"/>
              </w:rPr>
              <w:t>PHO</w:t>
            </w:r>
          </w:p>
          <w:p w:rsidR="00FD6172" w:rsidRPr="007B25EC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č. bodu</w:t>
            </w:r>
          </w:p>
        </w:tc>
        <w:tc>
          <w:tcPr>
            <w:tcW w:w="809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výška (m)</w:t>
            </w:r>
          </w:p>
        </w:tc>
        <w:tc>
          <w:tcPr>
            <w:tcW w:w="1022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4721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904" w:type="dxa"/>
            <w:shd w:val="clear" w:color="auto" w:fill="D9D9D9" w:themeFill="background1" w:themeFillShade="D9"/>
            <w:vAlign w:val="center"/>
          </w:tcPr>
          <w:p w:rsidR="00FD6172" w:rsidRDefault="00FD6172" w:rsidP="0084721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PHO</w:t>
            </w:r>
          </w:p>
          <w:p w:rsidR="00FD6172" w:rsidRDefault="00FD6172" w:rsidP="0084721C">
            <w:pPr>
              <w:jc w:val="center"/>
              <w:rPr>
                <w:b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1131" w:type="dxa"/>
            <w:shd w:val="clear" w:color="auto" w:fill="D9D9D9" w:themeFill="background1" w:themeFillShade="D9"/>
            <w:vAlign w:val="center"/>
          </w:tcPr>
          <w:p w:rsidR="00FD6172" w:rsidRDefault="00FD6172" w:rsidP="00FD617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Limit</w:t>
            </w:r>
          </w:p>
          <w:p w:rsidR="00FD6172" w:rsidRDefault="00FD6172" w:rsidP="00FD6172">
            <w:pPr>
              <w:jc w:val="center"/>
              <w:rPr>
                <w:b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Aeq, </w:t>
            </w:r>
            <w:r>
              <w:rPr>
                <w:b/>
                <w:sz w:val="20"/>
                <w:szCs w:val="20"/>
                <w:vertAlign w:val="subscript"/>
              </w:rPr>
              <w:t>14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1191" w:type="dxa"/>
            <w:shd w:val="clear" w:color="auto" w:fill="D9D9D9" w:themeFill="background1" w:themeFillShade="D9"/>
            <w:vAlign w:val="center"/>
          </w:tcPr>
          <w:p w:rsidR="00FD6172" w:rsidRDefault="00FD6172" w:rsidP="002333A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Limit</w:t>
            </w:r>
          </w:p>
          <w:p w:rsidR="00FD6172" w:rsidRPr="007B25EC" w:rsidRDefault="00FD6172" w:rsidP="00AE3B2C">
            <w:pPr>
              <w:jc w:val="center"/>
              <w:rPr>
                <w:b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Aeq, </w:t>
            </w:r>
            <w:r>
              <w:rPr>
                <w:b/>
                <w:sz w:val="20"/>
                <w:szCs w:val="20"/>
                <w:vertAlign w:val="subscript"/>
              </w:rPr>
              <w:t>1</w:t>
            </w:r>
            <w:r w:rsidR="00AE3B2C">
              <w:rPr>
                <w:b/>
                <w:sz w:val="20"/>
                <w:szCs w:val="20"/>
                <w:vertAlign w:val="subscript"/>
              </w:rPr>
              <w:t>0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131" w:type="dxa"/>
            <w:vMerge w:val="restart"/>
            <w:vAlign w:val="center"/>
          </w:tcPr>
          <w:p w:rsid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  <w:tc>
          <w:tcPr>
            <w:tcW w:w="1191" w:type="dxa"/>
            <w:vMerge w:val="restart"/>
            <w:vAlign w:val="center"/>
          </w:tcPr>
          <w:p w:rsidR="00FD6172" w:rsidRPr="007B25EC" w:rsidRDefault="00FD6172" w:rsidP="0084721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  <w:r w:rsidR="00AE3B2C">
              <w:rPr>
                <w:color w:val="000000"/>
                <w:sz w:val="20"/>
                <w:szCs w:val="20"/>
              </w:rPr>
              <w:t>6,4</w:t>
            </w: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55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56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2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4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49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53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8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62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9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18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3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00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21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1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02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7 </w:t>
            </w:r>
          </w:p>
        </w:tc>
        <w:tc>
          <w:tcPr>
            <w:tcW w:w="904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64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5 </w:t>
            </w:r>
          </w:p>
        </w:tc>
        <w:tc>
          <w:tcPr>
            <w:tcW w:w="113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Pr="007B25EC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D6172" w:rsidRPr="007B25EC" w:rsidTr="00FD6172">
        <w:trPr>
          <w:trHeight w:val="315"/>
        </w:trPr>
        <w:tc>
          <w:tcPr>
            <w:tcW w:w="725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7B25EC" w:rsidRDefault="00FD6172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755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24</w:t>
            </w:r>
            <w:r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052" w:type="dxa"/>
            <w:shd w:val="clear" w:color="auto" w:fill="auto"/>
            <w:noWrap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59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0 </w:t>
            </w:r>
          </w:p>
        </w:tc>
        <w:tc>
          <w:tcPr>
            <w:tcW w:w="849" w:type="dxa"/>
            <w:vAlign w:val="bottom"/>
          </w:tcPr>
          <w:p w:rsidR="00FD6172" w:rsidRPr="00FD6172" w:rsidRDefault="00FD6172" w:rsidP="00FD6172">
            <w:pPr>
              <w:jc w:val="center"/>
              <w:rPr>
                <w:color w:val="000000"/>
                <w:sz w:val="20"/>
                <w:szCs w:val="20"/>
              </w:rPr>
            </w:pPr>
            <w:r w:rsidRPr="00FD6172">
              <w:rPr>
                <w:color w:val="000000"/>
                <w:sz w:val="20"/>
                <w:szCs w:val="20"/>
              </w:rPr>
              <w:t xml:space="preserve">  57</w:t>
            </w:r>
            <w:r>
              <w:rPr>
                <w:color w:val="000000"/>
                <w:sz w:val="20"/>
                <w:szCs w:val="20"/>
              </w:rPr>
              <w:t>,</w:t>
            </w:r>
            <w:r w:rsidRPr="00FD6172">
              <w:rPr>
                <w:color w:val="000000"/>
                <w:sz w:val="20"/>
                <w:szCs w:val="20"/>
              </w:rPr>
              <w:t xml:space="preserve">6 </w:t>
            </w:r>
          </w:p>
        </w:tc>
        <w:tc>
          <w:tcPr>
            <w:tcW w:w="717" w:type="dxa"/>
            <w:shd w:val="clear" w:color="auto" w:fill="D9D9D9" w:themeFill="background1" w:themeFillShade="D9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809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22" w:type="dxa"/>
            <w:shd w:val="clear" w:color="auto" w:fill="auto"/>
            <w:noWrap/>
            <w:vAlign w:val="center"/>
            <w:hideMark/>
          </w:tcPr>
          <w:p w:rsidR="00FD6172" w:rsidRPr="001E35E7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904" w:type="dxa"/>
          </w:tcPr>
          <w:p w:rsidR="00FD6172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31" w:type="dxa"/>
            <w:vMerge/>
          </w:tcPr>
          <w:p w:rsidR="00FD6172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191" w:type="dxa"/>
            <w:vMerge/>
          </w:tcPr>
          <w:p w:rsidR="00FD6172" w:rsidRDefault="00FD6172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E35E7" w:rsidRDefault="001E35E7" w:rsidP="001E35E7">
      <w:pPr>
        <w:pStyle w:val="Tabulka"/>
        <w:spacing w:before="60" w:after="0"/>
        <w:jc w:val="left"/>
        <w:rPr>
          <w:i w:val="0"/>
          <w:color w:val="000000"/>
          <w:sz w:val="20"/>
        </w:rPr>
      </w:pPr>
      <w:r w:rsidRPr="00DC6991">
        <w:rPr>
          <w:i w:val="0"/>
          <w:color w:val="000000"/>
          <w:sz w:val="20"/>
        </w:rPr>
        <w:t xml:space="preserve">* Výška </w:t>
      </w:r>
      <w:r>
        <w:rPr>
          <w:i w:val="0"/>
          <w:color w:val="000000"/>
          <w:sz w:val="20"/>
        </w:rPr>
        <w:t xml:space="preserve">výpočtových bodů </w:t>
      </w:r>
      <w:r w:rsidRPr="00DC6991">
        <w:rPr>
          <w:i w:val="0"/>
          <w:color w:val="000000"/>
          <w:sz w:val="20"/>
        </w:rPr>
        <w:t>je vztažena k patě rekonstruované budovy ČSSZ</w:t>
      </w:r>
    </w:p>
    <w:p w:rsidR="001E6241" w:rsidRDefault="001E6241" w:rsidP="001E6241">
      <w:pPr>
        <w:autoSpaceDE w:val="0"/>
        <w:autoSpaceDN w:val="0"/>
        <w:adjustRightInd w:val="0"/>
        <w:rPr>
          <w:rFonts w:ascii="TimesNewRomanPSMT" w:hAnsi="TimesNewRomanPSMT" w:cs="TimesNewRomanPSMT"/>
          <w:sz w:val="26"/>
          <w:szCs w:val="26"/>
        </w:rPr>
      </w:pPr>
    </w:p>
    <w:p w:rsidR="00A469F8" w:rsidRDefault="001E6241" w:rsidP="00A469F8">
      <w:pPr>
        <w:pStyle w:val="Znaka1"/>
        <w:numPr>
          <w:ilvl w:val="0"/>
          <w:numId w:val="0"/>
        </w:numPr>
        <w:spacing w:before="40" w:after="40"/>
        <w:ind w:right="70"/>
      </w:pPr>
      <w:r w:rsidRPr="001E6241">
        <w:rPr>
          <w:rFonts w:cs="Arial"/>
          <w:color w:val="000000"/>
          <w:szCs w:val="24"/>
        </w:rPr>
        <w:t xml:space="preserve">Tabulka </w:t>
      </w:r>
      <w:r>
        <w:rPr>
          <w:rFonts w:cs="Arial"/>
          <w:color w:val="000000"/>
          <w:szCs w:val="24"/>
        </w:rPr>
        <w:t>č. 5</w:t>
      </w:r>
      <w:r w:rsidRPr="001E6241">
        <w:rPr>
          <w:rFonts w:cs="Arial"/>
          <w:color w:val="000000"/>
          <w:szCs w:val="24"/>
        </w:rPr>
        <w:t xml:space="preserve"> ukazuje výsledky výpočtů pro posuzovanou fázi </w:t>
      </w:r>
      <w:r w:rsidR="00616FDE">
        <w:rPr>
          <w:rFonts w:cs="Arial"/>
          <w:color w:val="000000"/>
          <w:szCs w:val="24"/>
        </w:rPr>
        <w:t>demolice části střechy objektu ČSSZ</w:t>
      </w:r>
      <w:r w:rsidRPr="001E6241">
        <w:rPr>
          <w:rFonts w:cs="Arial"/>
          <w:color w:val="000000"/>
          <w:szCs w:val="24"/>
        </w:rPr>
        <w:t>.</w:t>
      </w:r>
      <w:r w:rsidR="00616FDE">
        <w:rPr>
          <w:rFonts w:cs="Arial"/>
          <w:color w:val="000000"/>
          <w:szCs w:val="24"/>
        </w:rPr>
        <w:t xml:space="preserve"> Na základě </w:t>
      </w:r>
      <w:r w:rsidRPr="001E6241">
        <w:rPr>
          <w:rFonts w:cs="Arial"/>
          <w:color w:val="000000"/>
          <w:szCs w:val="24"/>
        </w:rPr>
        <w:t xml:space="preserve">výsledků modelových výpočtů </w:t>
      </w:r>
      <w:r w:rsidR="00616FDE">
        <w:rPr>
          <w:rFonts w:cs="Arial"/>
          <w:color w:val="000000"/>
          <w:szCs w:val="24"/>
        </w:rPr>
        <w:t xml:space="preserve">lze </w:t>
      </w:r>
      <w:r w:rsidRPr="001E6241">
        <w:rPr>
          <w:rFonts w:cs="Arial"/>
          <w:color w:val="000000"/>
          <w:szCs w:val="24"/>
        </w:rPr>
        <w:t>konstatovat, že by</w:t>
      </w:r>
      <w:r w:rsidR="00616FDE">
        <w:rPr>
          <w:rFonts w:cs="Arial"/>
          <w:color w:val="000000"/>
          <w:szCs w:val="24"/>
        </w:rPr>
        <w:t xml:space="preserve"> </w:t>
      </w:r>
      <w:r w:rsidRPr="001E6241">
        <w:rPr>
          <w:rFonts w:cs="Arial"/>
          <w:color w:val="000000"/>
          <w:szCs w:val="24"/>
        </w:rPr>
        <w:t xml:space="preserve">v průběhu </w:t>
      </w:r>
      <w:r w:rsidR="00616FDE">
        <w:rPr>
          <w:rFonts w:cs="Arial"/>
          <w:color w:val="000000"/>
          <w:szCs w:val="24"/>
        </w:rPr>
        <w:t xml:space="preserve">demolice </w:t>
      </w:r>
      <w:r w:rsidRPr="001E6241">
        <w:rPr>
          <w:rFonts w:cs="Arial"/>
          <w:color w:val="000000"/>
          <w:szCs w:val="24"/>
        </w:rPr>
        <w:t>mohlo bez dodatečných protihlukových opatření docházet</w:t>
      </w:r>
      <w:r w:rsidR="00616FDE">
        <w:rPr>
          <w:rFonts w:cs="Arial"/>
          <w:color w:val="000000"/>
          <w:szCs w:val="24"/>
        </w:rPr>
        <w:t xml:space="preserve"> </w:t>
      </w:r>
      <w:r w:rsidRPr="001E6241">
        <w:rPr>
          <w:rFonts w:cs="Arial"/>
          <w:color w:val="000000"/>
          <w:szCs w:val="24"/>
        </w:rPr>
        <w:t xml:space="preserve">k překročení </w:t>
      </w:r>
      <w:r w:rsidR="00616FDE">
        <w:rPr>
          <w:rFonts w:cs="Arial"/>
          <w:color w:val="000000"/>
          <w:szCs w:val="24"/>
        </w:rPr>
        <w:t xml:space="preserve">hygienického limitu pro hluk </w:t>
      </w:r>
      <w:r w:rsidRPr="001E6241">
        <w:rPr>
          <w:rFonts w:cs="Arial"/>
          <w:color w:val="000000"/>
          <w:szCs w:val="24"/>
        </w:rPr>
        <w:t>65,0 dB. Pro zajištění</w:t>
      </w:r>
      <w:r w:rsidR="00616FDE">
        <w:rPr>
          <w:rFonts w:cs="Arial"/>
          <w:color w:val="000000"/>
          <w:szCs w:val="24"/>
        </w:rPr>
        <w:t xml:space="preserve"> </w:t>
      </w:r>
      <w:r w:rsidRPr="001E6241">
        <w:rPr>
          <w:rFonts w:cs="Arial"/>
          <w:color w:val="000000"/>
          <w:szCs w:val="24"/>
        </w:rPr>
        <w:t>hygienického limitu byl</w:t>
      </w:r>
      <w:r w:rsidR="00616FDE">
        <w:rPr>
          <w:rFonts w:cs="Arial"/>
          <w:color w:val="000000"/>
          <w:szCs w:val="24"/>
        </w:rPr>
        <w:t>o</w:t>
      </w:r>
      <w:r w:rsidRPr="001E6241">
        <w:rPr>
          <w:rFonts w:cs="Arial"/>
          <w:color w:val="000000"/>
          <w:szCs w:val="24"/>
        </w:rPr>
        <w:t xml:space="preserve"> </w:t>
      </w:r>
      <w:r w:rsidR="00616FDE">
        <w:rPr>
          <w:rFonts w:cs="Arial"/>
          <w:color w:val="000000"/>
          <w:szCs w:val="24"/>
        </w:rPr>
        <w:t xml:space="preserve">na okraj střechy budovy ČSSZ navrženo umístění 3 m </w:t>
      </w:r>
      <w:r w:rsidRPr="001E6241">
        <w:rPr>
          <w:rFonts w:cs="Arial"/>
          <w:color w:val="000000"/>
          <w:szCs w:val="24"/>
        </w:rPr>
        <w:t xml:space="preserve">vysokého hrazení </w:t>
      </w:r>
      <w:r w:rsidR="00616FDE">
        <w:rPr>
          <w:rFonts w:cs="Arial"/>
          <w:color w:val="000000"/>
          <w:szCs w:val="24"/>
        </w:rPr>
        <w:t>v</w:t>
      </w:r>
      <w:r w:rsidRPr="001E6241">
        <w:rPr>
          <w:rFonts w:cs="Arial"/>
          <w:color w:val="000000"/>
          <w:szCs w:val="24"/>
        </w:rPr>
        <w:t xml:space="preserve"> minimálním rozsahu </w:t>
      </w:r>
      <w:r w:rsidR="00AB286C">
        <w:rPr>
          <w:rFonts w:cs="Arial"/>
          <w:color w:val="000000"/>
          <w:szCs w:val="24"/>
        </w:rPr>
        <w:t xml:space="preserve">11 x 6 m </w:t>
      </w:r>
      <w:r w:rsidRPr="001E6241">
        <w:rPr>
          <w:rFonts w:cs="Arial"/>
          <w:color w:val="000000"/>
          <w:szCs w:val="24"/>
        </w:rPr>
        <w:t xml:space="preserve">dle schématu </w:t>
      </w:r>
      <w:r w:rsidR="00616FDE">
        <w:rPr>
          <w:rFonts w:cs="Arial"/>
          <w:color w:val="000000"/>
          <w:szCs w:val="24"/>
        </w:rPr>
        <w:t xml:space="preserve">uvedeném v kapitole </w:t>
      </w:r>
      <w:r w:rsidRPr="001E6241">
        <w:rPr>
          <w:rFonts w:cs="Arial"/>
          <w:color w:val="000000"/>
          <w:szCs w:val="24"/>
        </w:rPr>
        <w:t>8.</w:t>
      </w:r>
      <w:r w:rsidR="00616FDE">
        <w:rPr>
          <w:rFonts w:cs="Arial"/>
          <w:color w:val="000000"/>
          <w:szCs w:val="24"/>
        </w:rPr>
        <w:t xml:space="preserve">1. Dále je v této fázi navrženo omezení doby stavebních prací </w:t>
      </w:r>
      <w:r w:rsidR="00A7162F">
        <w:rPr>
          <w:rFonts w:cs="Arial"/>
          <w:color w:val="000000"/>
          <w:szCs w:val="24"/>
        </w:rPr>
        <w:t>ze 14</w:t>
      </w:r>
      <w:r w:rsidR="00AB286C">
        <w:rPr>
          <w:rFonts w:cs="Arial"/>
          <w:color w:val="000000"/>
          <w:szCs w:val="24"/>
        </w:rPr>
        <w:t xml:space="preserve"> hodin za den</w:t>
      </w:r>
      <w:r w:rsidR="00A7162F">
        <w:rPr>
          <w:rFonts w:cs="Arial"/>
          <w:color w:val="000000"/>
          <w:szCs w:val="24"/>
        </w:rPr>
        <w:t xml:space="preserve"> </w:t>
      </w:r>
      <w:r w:rsidR="00616FDE">
        <w:rPr>
          <w:rFonts w:cs="Arial"/>
          <w:color w:val="000000"/>
          <w:szCs w:val="24"/>
        </w:rPr>
        <w:t>na max. 10 hodin za den</w:t>
      </w:r>
      <w:r w:rsidR="00AB286C">
        <w:rPr>
          <w:rFonts w:cs="Arial"/>
          <w:color w:val="000000"/>
          <w:szCs w:val="24"/>
        </w:rPr>
        <w:t xml:space="preserve"> mezi 7. a 21. hodinou</w:t>
      </w:r>
      <w:r w:rsidR="00616FDE">
        <w:rPr>
          <w:rFonts w:cs="Arial"/>
          <w:color w:val="000000"/>
          <w:szCs w:val="24"/>
        </w:rPr>
        <w:t xml:space="preserve">, čímž dojde ke zvýšení </w:t>
      </w:r>
      <w:r w:rsidR="00F93917">
        <w:rPr>
          <w:rFonts w:cs="Arial"/>
          <w:color w:val="000000"/>
          <w:szCs w:val="24"/>
        </w:rPr>
        <w:t xml:space="preserve">hygienického </w:t>
      </w:r>
      <w:r w:rsidR="00616FDE">
        <w:rPr>
          <w:rFonts w:cs="Arial"/>
          <w:color w:val="000000"/>
          <w:szCs w:val="24"/>
        </w:rPr>
        <w:t xml:space="preserve">limitu </w:t>
      </w:r>
      <w:r w:rsidR="00F93917">
        <w:rPr>
          <w:rFonts w:cs="Arial"/>
          <w:color w:val="000000"/>
          <w:szCs w:val="24"/>
        </w:rPr>
        <w:t xml:space="preserve">pro hluk ze stavební činnosti </w:t>
      </w:r>
      <w:r w:rsidR="00AB286C">
        <w:rPr>
          <w:rFonts w:cs="Arial"/>
          <w:color w:val="000000"/>
          <w:szCs w:val="24"/>
        </w:rPr>
        <w:t>na 66,4</w:t>
      </w:r>
      <w:r w:rsidR="00616FDE">
        <w:rPr>
          <w:rFonts w:cs="Arial"/>
          <w:color w:val="000000"/>
          <w:szCs w:val="24"/>
        </w:rPr>
        <w:t xml:space="preserve"> dB (viz výpočet v</w:t>
      </w:r>
      <w:r w:rsidR="00A7162F">
        <w:rPr>
          <w:rFonts w:cs="Arial"/>
          <w:color w:val="000000"/>
          <w:szCs w:val="24"/>
        </w:rPr>
        <w:t> </w:t>
      </w:r>
      <w:r w:rsidR="00616FDE">
        <w:rPr>
          <w:rFonts w:cs="Arial"/>
          <w:color w:val="000000"/>
          <w:szCs w:val="24"/>
        </w:rPr>
        <w:t>kapitole</w:t>
      </w:r>
      <w:r w:rsidR="00A7162F">
        <w:rPr>
          <w:rFonts w:cs="Arial"/>
          <w:color w:val="000000"/>
          <w:szCs w:val="24"/>
        </w:rPr>
        <w:t xml:space="preserve"> 4</w:t>
      </w:r>
      <w:r w:rsidR="00616FDE">
        <w:rPr>
          <w:rFonts w:cs="Arial"/>
          <w:color w:val="000000"/>
          <w:szCs w:val="24"/>
        </w:rPr>
        <w:t>).</w:t>
      </w:r>
      <w:r w:rsidRPr="001E6241">
        <w:rPr>
          <w:rFonts w:cs="Arial"/>
          <w:color w:val="000000"/>
          <w:szCs w:val="24"/>
        </w:rPr>
        <w:t xml:space="preserve"> Při realizaci tohoto opatření klesnou</w:t>
      </w:r>
      <w:r w:rsidR="00A7162F">
        <w:rPr>
          <w:rFonts w:cs="Arial"/>
          <w:color w:val="000000"/>
          <w:szCs w:val="24"/>
        </w:rPr>
        <w:t xml:space="preserve"> </w:t>
      </w:r>
      <w:r w:rsidRPr="001E6241">
        <w:rPr>
          <w:rFonts w:cs="Arial"/>
          <w:color w:val="000000"/>
          <w:szCs w:val="24"/>
        </w:rPr>
        <w:t xml:space="preserve">nejvyšší akustické příspěvky </w:t>
      </w:r>
      <w:r w:rsidR="00A7162F">
        <w:rPr>
          <w:rFonts w:cs="Arial"/>
          <w:color w:val="000000"/>
          <w:szCs w:val="24"/>
        </w:rPr>
        <w:t xml:space="preserve">v chráněném venkovním prostoru </w:t>
      </w:r>
      <w:r w:rsidRPr="001E6241">
        <w:rPr>
          <w:rFonts w:cs="Arial"/>
          <w:color w:val="000000"/>
          <w:szCs w:val="24"/>
        </w:rPr>
        <w:t>nejbližší</w:t>
      </w:r>
      <w:r w:rsidR="00A7162F">
        <w:rPr>
          <w:rFonts w:cs="Arial"/>
          <w:color w:val="000000"/>
          <w:szCs w:val="24"/>
        </w:rPr>
        <w:t xml:space="preserve"> stavby </w:t>
      </w:r>
      <w:r w:rsidR="00AB286C">
        <w:rPr>
          <w:rFonts w:cs="Arial"/>
          <w:color w:val="000000"/>
          <w:szCs w:val="24"/>
        </w:rPr>
        <w:t>pod</w:t>
      </w:r>
      <w:r w:rsidR="00A7162F">
        <w:rPr>
          <w:rFonts w:cs="Arial"/>
          <w:color w:val="000000"/>
          <w:szCs w:val="24"/>
        </w:rPr>
        <w:t xml:space="preserve"> </w:t>
      </w:r>
      <w:r w:rsidRPr="001E6241">
        <w:rPr>
          <w:rFonts w:cs="Arial"/>
          <w:color w:val="000000"/>
          <w:szCs w:val="24"/>
        </w:rPr>
        <w:t>6</w:t>
      </w:r>
      <w:r w:rsidR="00A7162F">
        <w:rPr>
          <w:rFonts w:cs="Arial"/>
          <w:color w:val="000000"/>
          <w:szCs w:val="24"/>
        </w:rPr>
        <w:t>6</w:t>
      </w:r>
      <w:r w:rsidR="00AB286C">
        <w:rPr>
          <w:rFonts w:cs="Arial"/>
          <w:color w:val="000000"/>
          <w:szCs w:val="24"/>
        </w:rPr>
        <w:t>,4</w:t>
      </w:r>
      <w:r w:rsidRPr="001E6241">
        <w:rPr>
          <w:rFonts w:cs="Arial"/>
          <w:color w:val="000000"/>
          <w:szCs w:val="24"/>
        </w:rPr>
        <w:t xml:space="preserve"> dB.</w:t>
      </w:r>
      <w:r w:rsidR="00A7162F">
        <w:rPr>
          <w:rFonts w:cs="Arial"/>
          <w:color w:val="000000"/>
          <w:szCs w:val="24"/>
        </w:rPr>
        <w:t xml:space="preserve"> </w:t>
      </w:r>
      <w:r w:rsidRPr="001E6241">
        <w:rPr>
          <w:rFonts w:cs="Arial"/>
          <w:color w:val="000000"/>
          <w:szCs w:val="24"/>
        </w:rPr>
        <w:t>Hygienický limit tak bude splněn.</w:t>
      </w:r>
      <w:r w:rsidR="00A7162F">
        <w:rPr>
          <w:rFonts w:cs="Arial"/>
          <w:color w:val="000000"/>
          <w:szCs w:val="24"/>
        </w:rPr>
        <w:t xml:space="preserve"> </w:t>
      </w:r>
      <w:r w:rsidR="00A469F8">
        <w:t>Výpočet je proveden na straně bezpečnosti, protože uvažuje současný provoz všech uvažovaných mechanismů</w:t>
      </w:r>
      <w:r w:rsidR="00AB286C">
        <w:t xml:space="preserve"> v této fázi výstavby</w:t>
      </w:r>
      <w:r w:rsidR="00A469F8">
        <w:t xml:space="preserve">. </w:t>
      </w:r>
    </w:p>
    <w:p w:rsidR="00A7162F" w:rsidRPr="001E6241" w:rsidRDefault="00A7162F" w:rsidP="001E6241">
      <w:pPr>
        <w:pStyle w:val="Zkladntextodsazen2"/>
        <w:spacing w:before="120" w:after="120"/>
        <w:ind w:left="0" w:firstLine="0"/>
        <w:rPr>
          <w:rFonts w:cs="Arial"/>
          <w:color w:val="000000"/>
          <w:szCs w:val="24"/>
        </w:rPr>
      </w:pPr>
      <w:r>
        <w:rPr>
          <w:rFonts w:cs="Arial"/>
          <w:color w:val="000000"/>
          <w:szCs w:val="24"/>
        </w:rPr>
        <w:t>Navržená protihluková opatření jsou blíže popsána v kapitole 8.1.</w:t>
      </w:r>
    </w:p>
    <w:p w:rsidR="00A469F8" w:rsidRPr="00FE5E87" w:rsidRDefault="00A469F8" w:rsidP="001E35E7">
      <w:pPr>
        <w:pStyle w:val="Tabulka"/>
        <w:spacing w:before="0"/>
        <w:jc w:val="left"/>
        <w:rPr>
          <w:color w:val="000000"/>
          <w:sz w:val="6"/>
          <w:szCs w:val="6"/>
        </w:rPr>
      </w:pPr>
    </w:p>
    <w:p w:rsidR="00DB01E2" w:rsidRDefault="00DB01E2" w:rsidP="001E35E7">
      <w:pPr>
        <w:pStyle w:val="Tabulka"/>
        <w:spacing w:before="0"/>
        <w:jc w:val="left"/>
        <w:rPr>
          <w:color w:val="000000"/>
        </w:rPr>
      </w:pPr>
      <w:r w:rsidRPr="003F2219">
        <w:rPr>
          <w:color w:val="000000"/>
        </w:rPr>
        <w:t xml:space="preserve">Tabulka </w:t>
      </w:r>
      <w:r w:rsidR="003D3FB5">
        <w:rPr>
          <w:color w:val="000000"/>
        </w:rPr>
        <w:t>6</w:t>
      </w:r>
      <w:r w:rsidRPr="003F2219">
        <w:rPr>
          <w:color w:val="000000"/>
        </w:rPr>
        <w:t xml:space="preserve"> – </w:t>
      </w:r>
      <w:r>
        <w:rPr>
          <w:color w:val="000000"/>
        </w:rPr>
        <w:t>H</w:t>
      </w:r>
      <w:r w:rsidRPr="003F2219">
        <w:rPr>
          <w:color w:val="000000"/>
        </w:rPr>
        <w:t xml:space="preserve">lukové zatížení </w:t>
      </w:r>
      <w:r w:rsidR="00D87D8B">
        <w:rPr>
          <w:color w:val="000000"/>
        </w:rPr>
        <w:t>ve fázi nadstavby 6.NP</w:t>
      </w:r>
      <w:r w:rsidRPr="003F2219">
        <w:rPr>
          <w:color w:val="000000"/>
        </w:rPr>
        <w:t xml:space="preserve"> </w:t>
      </w:r>
      <w:r>
        <w:rPr>
          <w:color w:val="000000"/>
        </w:rPr>
        <w:t>- dopadající hluk</w:t>
      </w:r>
      <w:r w:rsidRPr="003F2219">
        <w:rPr>
          <w:color w:val="000000"/>
        </w:rPr>
        <w:t xml:space="preserve">  </w:t>
      </w: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120"/>
        <w:gridCol w:w="1120"/>
        <w:gridCol w:w="960"/>
        <w:gridCol w:w="1098"/>
        <w:gridCol w:w="1134"/>
        <w:gridCol w:w="1134"/>
      </w:tblGrid>
      <w:tr w:rsidR="001E35E7" w:rsidRPr="007B25EC" w:rsidTr="008E1766">
        <w:trPr>
          <w:trHeight w:val="405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č. bodu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výška (m)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67522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č. bodu</w:t>
            </w:r>
          </w:p>
        </w:tc>
        <w:tc>
          <w:tcPr>
            <w:tcW w:w="1098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výška (m)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67522D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1E35E7" w:rsidRDefault="001E35E7" w:rsidP="008E176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Limit</w:t>
            </w:r>
          </w:p>
          <w:p w:rsidR="001E35E7" w:rsidRPr="007B25EC" w:rsidRDefault="001E35E7" w:rsidP="001E35E7">
            <w:pPr>
              <w:jc w:val="center"/>
              <w:rPr>
                <w:b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Aeq, </w:t>
            </w:r>
            <w:r>
              <w:rPr>
                <w:b/>
                <w:sz w:val="20"/>
                <w:szCs w:val="20"/>
                <w:vertAlign w:val="subscript"/>
              </w:rPr>
              <w:t>14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38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21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23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41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38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21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23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43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26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45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63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63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62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62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62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56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56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20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56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59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62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21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1E35E7">
              <w:rPr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17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62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1E35E7" w:rsidRPr="007B25EC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1E35E7" w:rsidRPr="007B25EC" w:rsidTr="001E35E7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7B25EC" w:rsidRDefault="001E35E7" w:rsidP="008E1766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24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58</w:t>
            </w:r>
            <w:r w:rsidR="0084721C">
              <w:rPr>
                <w:color w:val="000000"/>
                <w:sz w:val="20"/>
                <w:szCs w:val="20"/>
              </w:rPr>
              <w:t>,</w:t>
            </w:r>
            <w:r w:rsidRPr="001E35E7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1E35E7" w:rsidRPr="001E35E7" w:rsidRDefault="001E35E7" w:rsidP="001E35E7">
            <w:pPr>
              <w:jc w:val="center"/>
              <w:rPr>
                <w:color w:val="000000"/>
                <w:sz w:val="20"/>
                <w:szCs w:val="20"/>
              </w:rPr>
            </w:pPr>
            <w:r w:rsidRPr="001E35E7"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1E35E7" w:rsidRDefault="001E35E7" w:rsidP="008E1766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1E35E7" w:rsidRDefault="001E35E7" w:rsidP="001E35E7">
      <w:pPr>
        <w:pStyle w:val="Tabulka"/>
        <w:spacing w:before="60" w:after="0"/>
        <w:jc w:val="left"/>
        <w:rPr>
          <w:i w:val="0"/>
          <w:color w:val="000000"/>
          <w:sz w:val="20"/>
        </w:rPr>
      </w:pPr>
      <w:r w:rsidRPr="00DC6991">
        <w:rPr>
          <w:i w:val="0"/>
          <w:color w:val="000000"/>
          <w:sz w:val="20"/>
        </w:rPr>
        <w:t xml:space="preserve">* Výška </w:t>
      </w:r>
      <w:r>
        <w:rPr>
          <w:i w:val="0"/>
          <w:color w:val="000000"/>
          <w:sz w:val="20"/>
        </w:rPr>
        <w:t xml:space="preserve">výpočtových bodů </w:t>
      </w:r>
      <w:r w:rsidRPr="00DC6991">
        <w:rPr>
          <w:i w:val="0"/>
          <w:color w:val="000000"/>
          <w:sz w:val="20"/>
        </w:rPr>
        <w:t>je vztažena k patě rekonstruované budovy ČSSZ</w:t>
      </w:r>
    </w:p>
    <w:p w:rsidR="00BB2E40" w:rsidRDefault="00BB2E40" w:rsidP="00BB2E40">
      <w:pPr>
        <w:pStyle w:val="Znaka1"/>
        <w:numPr>
          <w:ilvl w:val="0"/>
          <w:numId w:val="0"/>
        </w:numPr>
        <w:spacing w:before="40" w:after="40"/>
        <w:ind w:right="70"/>
        <w:rPr>
          <w:color w:val="000000"/>
        </w:rPr>
      </w:pPr>
    </w:p>
    <w:p w:rsidR="00DB01E2" w:rsidRDefault="00DB01E2" w:rsidP="00A469F8">
      <w:pPr>
        <w:pStyle w:val="Znaka1"/>
        <w:numPr>
          <w:ilvl w:val="0"/>
          <w:numId w:val="0"/>
        </w:numPr>
        <w:spacing w:before="40" w:after="40"/>
        <w:ind w:right="70"/>
      </w:pPr>
      <w:r w:rsidRPr="00607B9C">
        <w:rPr>
          <w:color w:val="000000"/>
        </w:rPr>
        <w:t xml:space="preserve">Na základě výsledků modelových výpočtů </w:t>
      </w:r>
      <w:r w:rsidRPr="000775D7">
        <w:rPr>
          <w:color w:val="000000"/>
        </w:rPr>
        <w:t>uvedených v tabul</w:t>
      </w:r>
      <w:r w:rsidR="00BB2E40">
        <w:rPr>
          <w:color w:val="000000"/>
        </w:rPr>
        <w:t>ce</w:t>
      </w:r>
      <w:r w:rsidRPr="000775D7">
        <w:rPr>
          <w:color w:val="000000"/>
        </w:rPr>
        <w:t xml:space="preserve"> č.</w:t>
      </w:r>
      <w:r w:rsidR="00BB2E40">
        <w:rPr>
          <w:color w:val="000000"/>
        </w:rPr>
        <w:t xml:space="preserve"> 6 </w:t>
      </w:r>
      <w:r w:rsidRPr="00EB37CC">
        <w:rPr>
          <w:color w:val="000000"/>
        </w:rPr>
        <w:t>lze očekávat</w:t>
      </w:r>
      <w:r w:rsidRPr="00607B9C">
        <w:rPr>
          <w:color w:val="000000"/>
        </w:rPr>
        <w:t xml:space="preserve">, že </w:t>
      </w:r>
      <w:r w:rsidR="00BB2E40">
        <w:rPr>
          <w:color w:val="000000"/>
        </w:rPr>
        <w:t xml:space="preserve">během prací </w:t>
      </w:r>
      <w:r w:rsidR="00A469F8">
        <w:rPr>
          <w:color w:val="000000"/>
        </w:rPr>
        <w:t xml:space="preserve">spojených s nástavbou 6.NP prováděných na střeše budovy ČSSZ nedojde s dostatečnou rezervou k překročení hygienického limitu pro hluk ze stavební činnosti mezi 7. a 21. hod </w:t>
      </w:r>
      <w:r w:rsidR="00FD17E4">
        <w:rPr>
          <w:color w:val="000000"/>
        </w:rPr>
        <w:t xml:space="preserve">(65 dB) </w:t>
      </w:r>
      <w:r w:rsidR="00A469F8">
        <w:rPr>
          <w:color w:val="000000"/>
        </w:rPr>
        <w:t xml:space="preserve">v chráněném venkovním prostoru </w:t>
      </w:r>
      <w:r w:rsidR="00F93917">
        <w:rPr>
          <w:color w:val="000000"/>
        </w:rPr>
        <w:t>nejbližších</w:t>
      </w:r>
      <w:r w:rsidR="00A469F8">
        <w:rPr>
          <w:color w:val="000000"/>
        </w:rPr>
        <w:t xml:space="preserve"> staveb. </w:t>
      </w:r>
      <w:r>
        <w:t>Výpočet je proveden na straně bezpečnosti, protože uvažuje současný prov</w:t>
      </w:r>
      <w:r w:rsidR="00A469F8">
        <w:t xml:space="preserve">oz všech uvažovaných mechanismů. </w:t>
      </w:r>
    </w:p>
    <w:p w:rsidR="008E27FF" w:rsidRPr="00A469F8" w:rsidRDefault="008E27FF" w:rsidP="00A469F8">
      <w:pPr>
        <w:autoSpaceDE w:val="0"/>
        <w:autoSpaceDN w:val="0"/>
        <w:adjustRightInd w:val="0"/>
        <w:spacing w:before="120"/>
        <w:rPr>
          <w:rFonts w:ascii="TimesNewRomanPS-BoldMT" w:hAnsi="TimesNewRomanPS-BoldMT" w:cs="TimesNewRomanPS-BoldMT"/>
          <w:b/>
          <w:bCs/>
        </w:rPr>
      </w:pPr>
      <w:r w:rsidRPr="00A469F8">
        <w:rPr>
          <w:rFonts w:ascii="TimesNewRomanPS-BoldMT" w:hAnsi="TimesNewRomanPS-BoldMT" w:cs="TimesNewRomanPS-BoldMT"/>
          <w:b/>
          <w:bCs/>
        </w:rPr>
        <w:t xml:space="preserve">Obslužná staveništní doprava v době provádění stavby </w:t>
      </w:r>
    </w:p>
    <w:p w:rsidR="00043CC0" w:rsidRDefault="008E27FF" w:rsidP="00BE609F">
      <w:pPr>
        <w:autoSpaceDE w:val="0"/>
        <w:autoSpaceDN w:val="0"/>
        <w:adjustRightInd w:val="0"/>
        <w:spacing w:before="120"/>
        <w:jc w:val="both"/>
        <w:rPr>
          <w:color w:val="000000"/>
          <w:sz w:val="2"/>
          <w:szCs w:val="2"/>
        </w:rPr>
      </w:pPr>
      <w:r>
        <w:rPr>
          <w:rFonts w:ascii="TimesNewRomanPSMT" w:hAnsi="TimesNewRomanPSMT" w:cs="TimesNewRomanPSMT"/>
          <w:sz w:val="26"/>
          <w:szCs w:val="26"/>
        </w:rPr>
        <w:t xml:space="preserve">Při zohlednění předpokládaných nejvyšších intenzit </w:t>
      </w:r>
      <w:r w:rsidRPr="00B61E3A">
        <w:rPr>
          <w:rFonts w:ascii="TimesNewRomanPSMT" w:hAnsi="TimesNewRomanPSMT" w:cs="TimesNewRomanPSMT"/>
          <w:sz w:val="26"/>
          <w:szCs w:val="26"/>
        </w:rPr>
        <w:t>obslužné staveništní dopravy</w:t>
      </w:r>
      <w:r>
        <w:rPr>
          <w:rFonts w:ascii="TimesNewRomanPSMT" w:hAnsi="TimesNewRomanPSMT" w:cs="TimesNewRomanPSMT"/>
          <w:sz w:val="26"/>
          <w:szCs w:val="26"/>
        </w:rPr>
        <w:t xml:space="preserve"> ve výši 2 n</w:t>
      </w:r>
      <w:r w:rsidRPr="007B25EC">
        <w:rPr>
          <w:rFonts w:ascii="TimesNewRomanPSMT" w:hAnsi="TimesNewRomanPSMT" w:cs="TimesNewRomanPSMT"/>
          <w:color w:val="000000" w:themeColor="text1"/>
          <w:sz w:val="26"/>
          <w:szCs w:val="26"/>
        </w:rPr>
        <w:t xml:space="preserve">ákladní vozidla za hodinu v obou směrech lze očekávat nejvyšší příspěvky ve výpočtových bodech do </w:t>
      </w:r>
      <w:r w:rsidR="007B25EC" w:rsidRPr="007B25EC">
        <w:rPr>
          <w:rFonts w:ascii="TimesNewRomanPSMT" w:hAnsi="TimesNewRomanPSMT" w:cs="TimesNewRomanPSMT"/>
          <w:color w:val="000000" w:themeColor="text1"/>
          <w:sz w:val="26"/>
          <w:szCs w:val="26"/>
        </w:rPr>
        <w:t>35,4</w:t>
      </w:r>
      <w:r w:rsidRPr="007B25EC">
        <w:rPr>
          <w:rFonts w:ascii="TimesNewRomanPSMT" w:hAnsi="TimesNewRomanPSMT" w:cs="TimesNewRomanPSMT"/>
          <w:color w:val="000000" w:themeColor="text1"/>
          <w:sz w:val="26"/>
          <w:szCs w:val="26"/>
        </w:rPr>
        <w:t xml:space="preserve"> dB. Hygienický </w:t>
      </w:r>
      <w:r>
        <w:rPr>
          <w:rFonts w:ascii="TimesNewRomanPSMT" w:hAnsi="TimesNewRomanPSMT" w:cs="TimesNewRomanPSMT"/>
          <w:sz w:val="26"/>
          <w:szCs w:val="26"/>
        </w:rPr>
        <w:t xml:space="preserve">limit pro hluk ze staveništní dopravy </w:t>
      </w:r>
      <w:r w:rsidR="007B25EC">
        <w:rPr>
          <w:rFonts w:ascii="TimesNewRomanPSMT" w:hAnsi="TimesNewRomanPSMT" w:cs="TimesNewRomanPSMT"/>
          <w:sz w:val="26"/>
          <w:szCs w:val="26"/>
        </w:rPr>
        <w:t xml:space="preserve">po areálových komunikacích </w:t>
      </w:r>
      <w:r w:rsidR="00BE609F" w:rsidRPr="008E27FF">
        <w:rPr>
          <w:rFonts w:ascii="TimesNewRomanPS-BoldMT" w:hAnsi="TimesNewRomanPS-BoldMT" w:cs="TimesNewRomanPS-BoldMT"/>
          <w:bCs/>
          <w:sz w:val="26"/>
          <w:szCs w:val="26"/>
        </w:rPr>
        <w:t>L</w:t>
      </w:r>
      <w:r w:rsidR="00BE609F" w:rsidRPr="008E27FF">
        <w:rPr>
          <w:rFonts w:ascii="TimesNewRomanPS-BoldMT" w:hAnsi="TimesNewRomanPS-BoldMT" w:cs="TimesNewRomanPS-BoldMT"/>
          <w:bCs/>
          <w:sz w:val="17"/>
          <w:szCs w:val="17"/>
        </w:rPr>
        <w:t xml:space="preserve">Aeq </w:t>
      </w:r>
      <w:r w:rsidR="00BE609F" w:rsidRPr="008E27FF">
        <w:rPr>
          <w:rFonts w:ascii="TimesNewRomanPS-BoldMT" w:hAnsi="TimesNewRomanPS-BoldMT" w:cs="TimesNewRomanPS-BoldMT"/>
          <w:bCs/>
          <w:sz w:val="26"/>
          <w:szCs w:val="26"/>
        </w:rPr>
        <w:t>= 65 dB</w:t>
      </w:r>
      <w:r w:rsidR="00BE609F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 </w:t>
      </w:r>
      <w:r w:rsidR="007B25EC" w:rsidRPr="00BF369C">
        <w:rPr>
          <w:rFonts w:ascii="TimesNewRomanPS-BoldMT" w:hAnsi="TimesNewRomanPS-BoldMT" w:cs="TimesNewRomanPS-BoldMT"/>
          <w:bCs/>
          <w:sz w:val="26"/>
          <w:szCs w:val="26"/>
        </w:rPr>
        <w:t xml:space="preserve">stanovený pro </w:t>
      </w:r>
      <w:r w:rsidR="00BF369C" w:rsidRPr="00BF369C">
        <w:rPr>
          <w:rFonts w:ascii="TimesNewRomanPS-BoldMT" w:hAnsi="TimesNewRomanPS-BoldMT" w:cs="TimesNewRomanPS-BoldMT"/>
          <w:bCs/>
          <w:sz w:val="26"/>
          <w:szCs w:val="26"/>
        </w:rPr>
        <w:t>denní dobu a 8 nehlučnějších po sobě jdoucích hodin</w:t>
      </w:r>
      <w:r w:rsidR="00BF369C">
        <w:rPr>
          <w:rFonts w:ascii="TimesNewRomanPS-BoldMT" w:hAnsi="TimesNewRomanPS-BoldMT" w:cs="TimesNewRomanPS-BoldMT"/>
          <w:b/>
          <w:bCs/>
          <w:sz w:val="26"/>
          <w:szCs w:val="26"/>
        </w:rPr>
        <w:t xml:space="preserve"> </w:t>
      </w:r>
      <w:r>
        <w:rPr>
          <w:rFonts w:ascii="TimesNewRomanPSMT" w:hAnsi="TimesNewRomanPSMT" w:cs="TimesNewRomanPSMT"/>
          <w:sz w:val="26"/>
          <w:szCs w:val="26"/>
        </w:rPr>
        <w:t>bude v posuzovaném území</w:t>
      </w:r>
      <w:r w:rsidR="00BE609F">
        <w:rPr>
          <w:rFonts w:ascii="TimesNewRomanPSMT" w:hAnsi="TimesNewRomanPSMT" w:cs="TimesNewRomanPSMT"/>
          <w:sz w:val="26"/>
          <w:szCs w:val="26"/>
        </w:rPr>
        <w:t>, resp. v chráněném venkovním prostoru nejbližších staveb</w:t>
      </w:r>
      <w:r>
        <w:rPr>
          <w:rFonts w:ascii="TimesNewRomanPSMT" w:hAnsi="TimesNewRomanPSMT" w:cs="TimesNewRomanPSMT"/>
          <w:sz w:val="26"/>
          <w:szCs w:val="26"/>
        </w:rPr>
        <w:t xml:space="preserve"> v průběhu nejvyššího očekávaného dopravního zatížení splněn.</w:t>
      </w: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D87D8B" w:rsidRDefault="00D87D8B" w:rsidP="00B61E3A">
      <w:pPr>
        <w:pStyle w:val="Tabulka"/>
        <w:spacing w:before="0"/>
        <w:jc w:val="left"/>
        <w:rPr>
          <w:color w:val="000000"/>
        </w:rPr>
      </w:pPr>
      <w:r w:rsidRPr="003F2219">
        <w:rPr>
          <w:color w:val="000000"/>
        </w:rPr>
        <w:t xml:space="preserve">Tabulka </w:t>
      </w:r>
      <w:r w:rsidR="00A469F8">
        <w:rPr>
          <w:color w:val="000000"/>
        </w:rPr>
        <w:t>7</w:t>
      </w:r>
      <w:r w:rsidRPr="003F2219">
        <w:rPr>
          <w:color w:val="000000"/>
        </w:rPr>
        <w:t xml:space="preserve"> – </w:t>
      </w:r>
      <w:r>
        <w:rPr>
          <w:color w:val="000000"/>
        </w:rPr>
        <w:t>H</w:t>
      </w:r>
      <w:r w:rsidRPr="003F2219">
        <w:rPr>
          <w:color w:val="000000"/>
        </w:rPr>
        <w:t xml:space="preserve">lukové zatížení </w:t>
      </w:r>
      <w:r>
        <w:rPr>
          <w:color w:val="000000"/>
        </w:rPr>
        <w:t>z obslužné staveništní dopravy - dopadající hluk</w:t>
      </w:r>
      <w:r w:rsidRPr="003F2219">
        <w:rPr>
          <w:color w:val="000000"/>
        </w:rPr>
        <w:t xml:space="preserve">  </w:t>
      </w: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tbl>
      <w:tblPr>
        <w:tblW w:w="738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20"/>
        <w:gridCol w:w="1120"/>
        <w:gridCol w:w="1120"/>
        <w:gridCol w:w="960"/>
        <w:gridCol w:w="1098"/>
        <w:gridCol w:w="1134"/>
        <w:gridCol w:w="1134"/>
      </w:tblGrid>
      <w:tr w:rsidR="007B25EC" w:rsidRPr="007B25EC" w:rsidTr="001E35E7">
        <w:trPr>
          <w:trHeight w:val="405"/>
        </w:trPr>
        <w:tc>
          <w:tcPr>
            <w:tcW w:w="820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č. bodu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výška (m)</w:t>
            </w:r>
          </w:p>
        </w:tc>
        <w:tc>
          <w:tcPr>
            <w:tcW w:w="112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Aeq, 8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960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č. bodu</w:t>
            </w:r>
          </w:p>
        </w:tc>
        <w:tc>
          <w:tcPr>
            <w:tcW w:w="1098" w:type="dxa"/>
            <w:tcBorders>
              <w:top w:val="single" w:sz="12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výška (m)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Aeq, 8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  <w:tc>
          <w:tcPr>
            <w:tcW w:w="1134" w:type="dxa"/>
            <w:tcBorders>
              <w:top w:val="single" w:sz="12" w:space="0" w:color="auto"/>
              <w:left w:val="nil"/>
              <w:bottom w:val="single" w:sz="8" w:space="0" w:color="auto"/>
              <w:right w:val="single" w:sz="12" w:space="0" w:color="auto"/>
            </w:tcBorders>
            <w:shd w:val="clear" w:color="auto" w:fill="D9D9D9" w:themeFill="background1" w:themeFillShade="D9"/>
          </w:tcPr>
          <w:p w:rsidR="007B25EC" w:rsidRDefault="007B25EC" w:rsidP="007B25E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Limit</w:t>
            </w:r>
          </w:p>
          <w:p w:rsidR="007B25EC" w:rsidRPr="007B25EC" w:rsidRDefault="007B25EC" w:rsidP="007B25EC">
            <w:pPr>
              <w:jc w:val="center"/>
              <w:rPr>
                <w:b/>
                <w:sz w:val="20"/>
                <w:szCs w:val="20"/>
              </w:rPr>
            </w:pPr>
            <w:r w:rsidRPr="007B25EC">
              <w:rPr>
                <w:b/>
                <w:sz w:val="20"/>
                <w:szCs w:val="20"/>
              </w:rPr>
              <w:t>L</w:t>
            </w:r>
            <w:r w:rsidRPr="007B25EC">
              <w:rPr>
                <w:b/>
                <w:sz w:val="20"/>
                <w:szCs w:val="20"/>
                <w:vertAlign w:val="subscript"/>
              </w:rPr>
              <w:t xml:space="preserve">Aeq, 8 </w:t>
            </w:r>
            <w:r w:rsidRPr="007B25EC">
              <w:rPr>
                <w:b/>
                <w:sz w:val="20"/>
                <w:szCs w:val="20"/>
              </w:rPr>
              <w:t>(dB)</w:t>
            </w: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8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18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19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18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right w:val="single" w:sz="12" w:space="0" w:color="auto"/>
            </w:tcBorders>
            <w:vAlign w:val="center"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65</w:t>
            </w: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9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23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19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18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32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19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19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23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35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10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26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23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3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35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35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11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8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35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4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12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32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33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13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33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33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14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36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28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7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20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15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33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18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19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22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5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00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21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16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17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134" w:type="dxa"/>
            <w:vMerge/>
            <w:tcBorders>
              <w:left w:val="nil"/>
              <w:right w:val="single" w:sz="12" w:space="0" w:color="auto"/>
            </w:tcBorders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7B25EC" w:rsidRPr="007B25EC" w:rsidTr="001E35E7">
        <w:trPr>
          <w:trHeight w:val="315"/>
        </w:trPr>
        <w:tc>
          <w:tcPr>
            <w:tcW w:w="820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b/>
                <w:color w:val="000000"/>
                <w:sz w:val="20"/>
                <w:szCs w:val="20"/>
              </w:rPr>
            </w:pPr>
            <w:r w:rsidRPr="007B25EC">
              <w:rPr>
                <w:b/>
                <w:color w:val="000000"/>
                <w:sz w:val="20"/>
                <w:szCs w:val="20"/>
              </w:rPr>
              <w:t>8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120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 w:rsidRPr="007B25EC">
              <w:rPr>
                <w:color w:val="000000"/>
                <w:sz w:val="20"/>
                <w:szCs w:val="20"/>
              </w:rPr>
              <w:t>24</w:t>
            </w:r>
            <w:r w:rsidR="00DC6991">
              <w:rPr>
                <w:color w:val="000000"/>
                <w:sz w:val="20"/>
                <w:szCs w:val="20"/>
              </w:rPr>
              <w:t>,</w:t>
            </w:r>
            <w:r w:rsidRPr="007B25EC">
              <w:rPr>
                <w:color w:val="000000"/>
                <w:sz w:val="20"/>
                <w:szCs w:val="20"/>
              </w:rPr>
              <w:t>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098" w:type="dxa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12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B25EC" w:rsidRP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-</w:t>
            </w:r>
          </w:p>
        </w:tc>
        <w:tc>
          <w:tcPr>
            <w:tcW w:w="1134" w:type="dxa"/>
            <w:vMerge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:rsidR="007B25EC" w:rsidRDefault="007B25EC" w:rsidP="007B25EC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</w:tbl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7B25EC" w:rsidRDefault="007B25EC" w:rsidP="00A469F8">
      <w:pPr>
        <w:pStyle w:val="Tabulka"/>
        <w:spacing w:before="0" w:after="0"/>
        <w:jc w:val="left"/>
        <w:rPr>
          <w:i w:val="0"/>
          <w:color w:val="000000"/>
          <w:sz w:val="20"/>
        </w:rPr>
      </w:pPr>
      <w:r w:rsidRPr="00DC6991">
        <w:rPr>
          <w:i w:val="0"/>
          <w:color w:val="000000"/>
          <w:sz w:val="20"/>
        </w:rPr>
        <w:t xml:space="preserve">* Výška </w:t>
      </w:r>
      <w:r w:rsidR="001E35E7">
        <w:rPr>
          <w:i w:val="0"/>
          <w:color w:val="000000"/>
          <w:sz w:val="20"/>
        </w:rPr>
        <w:t xml:space="preserve">výpočtových bodů </w:t>
      </w:r>
      <w:r w:rsidRPr="00DC6991">
        <w:rPr>
          <w:i w:val="0"/>
          <w:color w:val="000000"/>
          <w:sz w:val="20"/>
        </w:rPr>
        <w:t>je vztažena k patě rekonstruované budovy ČSSZ</w:t>
      </w:r>
    </w:p>
    <w:p w:rsidR="00DC6991" w:rsidRDefault="00DC6991" w:rsidP="00DC6991">
      <w:pPr>
        <w:pStyle w:val="Tabulka"/>
        <w:spacing w:before="60" w:after="0"/>
        <w:jc w:val="left"/>
        <w:rPr>
          <w:i w:val="0"/>
          <w:color w:val="000000"/>
          <w:sz w:val="20"/>
        </w:rPr>
      </w:pPr>
    </w:p>
    <w:p w:rsidR="00A469F8" w:rsidRDefault="00A469F8" w:rsidP="00A469F8">
      <w:pPr>
        <w:pStyle w:val="Znaka1"/>
        <w:numPr>
          <w:ilvl w:val="0"/>
          <w:numId w:val="0"/>
        </w:numPr>
        <w:spacing w:before="40" w:after="40"/>
        <w:ind w:right="70"/>
        <w:rPr>
          <w:color w:val="000000"/>
        </w:rPr>
      </w:pPr>
      <w:r w:rsidRPr="00607B9C">
        <w:rPr>
          <w:color w:val="000000"/>
        </w:rPr>
        <w:t xml:space="preserve">Na základě výsledků modelových výpočtů </w:t>
      </w:r>
      <w:r w:rsidRPr="000775D7">
        <w:rPr>
          <w:color w:val="000000"/>
        </w:rPr>
        <w:t>uvedených v tabul</w:t>
      </w:r>
      <w:r>
        <w:rPr>
          <w:color w:val="000000"/>
        </w:rPr>
        <w:t>ce</w:t>
      </w:r>
      <w:r w:rsidRPr="000775D7">
        <w:rPr>
          <w:color w:val="000000"/>
        </w:rPr>
        <w:t xml:space="preserve"> č.</w:t>
      </w:r>
      <w:r>
        <w:rPr>
          <w:color w:val="000000"/>
        </w:rPr>
        <w:t xml:space="preserve"> 7 </w:t>
      </w:r>
      <w:r w:rsidRPr="00EB37CC">
        <w:rPr>
          <w:color w:val="000000"/>
        </w:rPr>
        <w:t xml:space="preserve">lze </w:t>
      </w:r>
      <w:r>
        <w:rPr>
          <w:color w:val="000000"/>
        </w:rPr>
        <w:t xml:space="preserve">konstatovat, že </w:t>
      </w:r>
      <w:r w:rsidR="002F7166">
        <w:rPr>
          <w:color w:val="000000"/>
        </w:rPr>
        <w:t xml:space="preserve">i při nejvýše očekávané frekvenci </w:t>
      </w:r>
      <w:r>
        <w:rPr>
          <w:color w:val="000000"/>
        </w:rPr>
        <w:t>obslužné staveništní dopravy</w:t>
      </w:r>
      <w:r w:rsidR="002F7166">
        <w:rPr>
          <w:color w:val="000000"/>
        </w:rPr>
        <w:t xml:space="preserve"> bude hygienický limit pro hluk z dopravy v chráněném venkovním prostoru nejbližších staveb splněn.</w:t>
      </w:r>
      <w:r>
        <w:rPr>
          <w:color w:val="000000"/>
        </w:rPr>
        <w:t xml:space="preserve"> </w:t>
      </w:r>
    </w:p>
    <w:p w:rsidR="009F137B" w:rsidRPr="003D3FB5" w:rsidRDefault="009F137B" w:rsidP="009F137B">
      <w:pPr>
        <w:pStyle w:val="Zkladntextodsazen2"/>
        <w:spacing w:before="120"/>
        <w:ind w:left="0" w:firstLine="0"/>
        <w:rPr>
          <w:color w:val="FF0000"/>
        </w:rPr>
      </w:pPr>
      <w:r w:rsidRPr="00B87B48">
        <w:rPr>
          <w:color w:val="000000"/>
        </w:rPr>
        <w:t>Grafické</w:t>
      </w:r>
      <w:r w:rsidRPr="001A0A8A">
        <w:t xml:space="preserve"> znázornění </w:t>
      </w:r>
      <w:r>
        <w:t xml:space="preserve">výsledků formou hlukových pásem v úrovni 2. a 3. nadzemního podlaží nejbližších bytových domů </w:t>
      </w:r>
      <w:r w:rsidRPr="003F2219">
        <w:rPr>
          <w:color w:val="000000"/>
        </w:rPr>
        <w:t xml:space="preserve">je prezentováno </w:t>
      </w:r>
      <w:r w:rsidRPr="00AB286C">
        <w:rPr>
          <w:color w:val="000000" w:themeColor="text1"/>
        </w:rPr>
        <w:t>na obrázcích č.</w:t>
      </w:r>
      <w:r>
        <w:rPr>
          <w:color w:val="000000" w:themeColor="text1"/>
        </w:rPr>
        <w:t>6</w:t>
      </w:r>
      <w:r w:rsidRPr="00AB286C">
        <w:rPr>
          <w:color w:val="000000" w:themeColor="text1"/>
        </w:rPr>
        <w:t xml:space="preserve"> </w:t>
      </w:r>
      <w:r>
        <w:rPr>
          <w:color w:val="000000" w:themeColor="text1"/>
        </w:rPr>
        <w:t>a</w:t>
      </w:r>
      <w:r w:rsidRPr="00AB286C">
        <w:rPr>
          <w:color w:val="000000" w:themeColor="text1"/>
        </w:rPr>
        <w:t xml:space="preserve"> </w:t>
      </w:r>
      <w:r>
        <w:rPr>
          <w:color w:val="000000" w:themeColor="text1"/>
        </w:rPr>
        <w:t>7</w:t>
      </w:r>
      <w:r w:rsidRPr="00AB286C">
        <w:rPr>
          <w:color w:val="000000" w:themeColor="text1"/>
        </w:rPr>
        <w:t xml:space="preserve"> v přílohové </w:t>
      </w:r>
      <w:r w:rsidRPr="00BF63B1">
        <w:rPr>
          <w:color w:val="000000" w:themeColor="text1"/>
        </w:rPr>
        <w:t xml:space="preserve">části této studie. </w:t>
      </w: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F47840" w:rsidRPr="004E0B6F" w:rsidRDefault="00F47840" w:rsidP="00F47840">
      <w:pPr>
        <w:pStyle w:val="Nadpis2"/>
        <w:spacing w:before="120"/>
        <w:rPr>
          <w:rFonts w:ascii="Times New Roman" w:hAnsi="Times New Roman"/>
          <w:bCs w:val="0"/>
          <w:i w:val="0"/>
          <w:sz w:val="30"/>
        </w:rPr>
      </w:pPr>
      <w:bookmarkStart w:id="51" w:name="_Toc410379012"/>
      <w:r>
        <w:rPr>
          <w:rFonts w:ascii="Times New Roman" w:hAnsi="Times New Roman"/>
          <w:bCs w:val="0"/>
          <w:i w:val="0"/>
          <w:sz w:val="30"/>
        </w:rPr>
        <w:t>8.1. Návrh protihlukových opatření</w:t>
      </w:r>
      <w:bookmarkEnd w:id="51"/>
      <w:r w:rsidRPr="004E0B6F">
        <w:rPr>
          <w:rFonts w:ascii="Times New Roman" w:hAnsi="Times New Roman"/>
          <w:bCs w:val="0"/>
          <w:i w:val="0"/>
          <w:sz w:val="30"/>
        </w:rPr>
        <w:t xml:space="preserve"> </w:t>
      </w: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F47840" w:rsidRPr="00F47840" w:rsidRDefault="00F47840" w:rsidP="00F47840">
      <w:pPr>
        <w:jc w:val="both"/>
      </w:pPr>
      <w:r>
        <w:t xml:space="preserve">S ohledem na </w:t>
      </w:r>
      <w:r w:rsidR="00C86B56">
        <w:t>provádění</w:t>
      </w:r>
      <w:r w:rsidRPr="00D31837">
        <w:t xml:space="preserve"> </w:t>
      </w:r>
      <w:r w:rsidR="00BF63B1">
        <w:t>stavební činnosti</w:t>
      </w:r>
      <w:r w:rsidRPr="00D31837">
        <w:t xml:space="preserve"> v blízkosti chráněn</w:t>
      </w:r>
      <w:r>
        <w:t>ých objektů</w:t>
      </w:r>
      <w:r w:rsidR="00C86B56">
        <w:t xml:space="preserve"> -</w:t>
      </w:r>
      <w:r>
        <w:t xml:space="preserve"> bytových domů v Křížové ulici </w:t>
      </w:r>
      <w:r w:rsidR="00C86B56">
        <w:t xml:space="preserve">- </w:t>
      </w:r>
      <w:r w:rsidRPr="00D31837">
        <w:t xml:space="preserve">bude nutné </w:t>
      </w:r>
      <w:r>
        <w:t>stavební práce o</w:t>
      </w:r>
      <w:r w:rsidRPr="00B2600B">
        <w:t xml:space="preserve">rganizačně </w:t>
      </w:r>
      <w:r>
        <w:t xml:space="preserve">a technicky </w:t>
      </w:r>
      <w:r w:rsidRPr="00B2600B">
        <w:t>zabezpeč</w:t>
      </w:r>
      <w:r>
        <w:t>it</w:t>
      </w:r>
      <w:r w:rsidRPr="00B2600B">
        <w:t xml:space="preserve"> takovým způsobem, který maximálně omezí možnost vzniku negativního ovlivnění akustické pohody </w:t>
      </w:r>
      <w:r>
        <w:t>místních obyvatel</w:t>
      </w:r>
      <w:r w:rsidRPr="00B2600B">
        <w:t>.</w:t>
      </w:r>
      <w:r>
        <w:t xml:space="preserve"> </w:t>
      </w:r>
      <w:r w:rsidRPr="0068258C">
        <w:rPr>
          <w:color w:val="000000"/>
        </w:rPr>
        <w:t xml:space="preserve">Pro minimalizaci hlukové zátěže </w:t>
      </w:r>
      <w:r>
        <w:rPr>
          <w:color w:val="000000"/>
        </w:rPr>
        <w:t xml:space="preserve">z posuzovaných stavebních činností </w:t>
      </w:r>
      <w:r w:rsidRPr="0068258C">
        <w:rPr>
          <w:color w:val="000000"/>
        </w:rPr>
        <w:t xml:space="preserve">jsou </w:t>
      </w:r>
      <w:r w:rsidRPr="00F47840">
        <w:rPr>
          <w:color w:val="000000"/>
        </w:rPr>
        <w:t>doporučena následující technicko-organizační opatření:</w:t>
      </w:r>
    </w:p>
    <w:p w:rsidR="00F47840" w:rsidRPr="0068258C" w:rsidRDefault="00F47840" w:rsidP="00F47840">
      <w:pPr>
        <w:ind w:firstLine="709"/>
        <w:jc w:val="both"/>
        <w:rPr>
          <w:color w:val="000000"/>
          <w:sz w:val="6"/>
          <w:szCs w:val="6"/>
        </w:rPr>
      </w:pPr>
    </w:p>
    <w:p w:rsidR="00F47840" w:rsidRDefault="00F47840" w:rsidP="00F47840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197EBE">
        <w:rPr>
          <w:color w:val="000000"/>
        </w:rPr>
        <w:t>veškeré hlučné stavební práce provádět pouze ve všední dny a v denní době mezi 7 a 21 hodinou,</w:t>
      </w:r>
      <w:r>
        <w:rPr>
          <w:color w:val="000000"/>
        </w:rPr>
        <w:t xml:space="preserve"> </w:t>
      </w:r>
      <w:r w:rsidRPr="00197EBE">
        <w:rPr>
          <w:color w:val="000000"/>
        </w:rPr>
        <w:t>v žádném případě neprovádět hlučné práce před 7 a po 21</w:t>
      </w:r>
      <w:r>
        <w:rPr>
          <w:color w:val="000000"/>
        </w:rPr>
        <w:t xml:space="preserve"> </w:t>
      </w:r>
      <w:r w:rsidRPr="00197EBE">
        <w:rPr>
          <w:color w:val="000000"/>
        </w:rPr>
        <w:t>hodině</w:t>
      </w:r>
    </w:p>
    <w:p w:rsidR="00F47840" w:rsidRPr="00197EBE" w:rsidRDefault="00F47840" w:rsidP="00F47840">
      <w:pPr>
        <w:numPr>
          <w:ilvl w:val="0"/>
          <w:numId w:val="3"/>
        </w:numPr>
        <w:spacing w:before="120"/>
        <w:jc w:val="both"/>
        <w:rPr>
          <w:color w:val="000000"/>
        </w:rPr>
      </w:pPr>
      <w:r w:rsidRPr="00B955A0">
        <w:rPr>
          <w:color w:val="000000"/>
        </w:rPr>
        <w:t>zvláště hlučné práce provádět mimo ranní a večerní hodiny</w:t>
      </w:r>
    </w:p>
    <w:p w:rsidR="00F47840" w:rsidRPr="0068258C" w:rsidRDefault="00F47840" w:rsidP="00F47840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F03B35">
        <w:rPr>
          <w:color w:val="000000"/>
        </w:rPr>
        <w:t>pracovní dobu hlučných stavebních mechanizmů omezit na nezbytně nutnou dobu</w:t>
      </w:r>
      <w:r>
        <w:rPr>
          <w:color w:val="000000"/>
        </w:rPr>
        <w:t xml:space="preserve"> a rozvrhnout jejich pracovní nasazení, aby nedocházelo k nežádoucí kumulaci hlukové zátěže </w:t>
      </w:r>
    </w:p>
    <w:p w:rsidR="00F47840" w:rsidRDefault="00F47840" w:rsidP="00F47840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68258C">
        <w:rPr>
          <w:color w:val="000000"/>
        </w:rPr>
        <w:t>používat stroje v dobrém technickém stavu a s technickým osvědčením</w:t>
      </w:r>
      <w:r>
        <w:rPr>
          <w:color w:val="000000"/>
        </w:rPr>
        <w:t xml:space="preserve"> a </w:t>
      </w:r>
      <w:r w:rsidRPr="008C4E7E">
        <w:rPr>
          <w:color w:val="000000"/>
        </w:rPr>
        <w:t>s co nejnižším akustickým výkonem</w:t>
      </w:r>
      <w:r w:rsidRPr="0068258C">
        <w:rPr>
          <w:color w:val="000000"/>
        </w:rPr>
        <w:t>, provádět pravidelnou údržbu</w:t>
      </w:r>
      <w:r>
        <w:rPr>
          <w:color w:val="000000"/>
        </w:rPr>
        <w:t xml:space="preserve"> a seřízení</w:t>
      </w:r>
    </w:p>
    <w:p w:rsidR="00F47840" w:rsidRDefault="00F47840" w:rsidP="00F47840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68258C">
        <w:rPr>
          <w:color w:val="000000"/>
        </w:rPr>
        <w:t xml:space="preserve">omezit chod strojů na prázdno a volnoběh nákladních aut na nezbytně nutnou dobu </w:t>
      </w:r>
    </w:p>
    <w:p w:rsidR="00F47840" w:rsidRDefault="00F47840" w:rsidP="00F47840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68258C">
        <w:rPr>
          <w:color w:val="000000"/>
        </w:rPr>
        <w:t xml:space="preserve">hlučné práce uvnitř </w:t>
      </w:r>
      <w:r>
        <w:rPr>
          <w:color w:val="000000"/>
        </w:rPr>
        <w:t xml:space="preserve">objektu </w:t>
      </w:r>
      <w:r w:rsidRPr="0068258C">
        <w:rPr>
          <w:color w:val="000000"/>
        </w:rPr>
        <w:t xml:space="preserve">provádět </w:t>
      </w:r>
      <w:r>
        <w:rPr>
          <w:color w:val="000000"/>
        </w:rPr>
        <w:t>se zavřenými okny a po dokončení zazdění oken</w:t>
      </w:r>
    </w:p>
    <w:p w:rsidR="00F47840" w:rsidRDefault="00F47840" w:rsidP="00F47840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>
        <w:rPr>
          <w:color w:val="000000"/>
        </w:rPr>
        <w:t xml:space="preserve">drobnou stavební mechanizaci (míchačka na beton, kompresor, apod.) umísťovat pokud možno dovnitř objektu </w:t>
      </w:r>
    </w:p>
    <w:p w:rsidR="00620242" w:rsidRPr="00620242" w:rsidRDefault="00620242" w:rsidP="00620242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620242">
        <w:rPr>
          <w:color w:val="000000"/>
        </w:rPr>
        <w:t xml:space="preserve">pro betonáž používat systémové bednění, </w:t>
      </w:r>
      <w:r>
        <w:rPr>
          <w:color w:val="000000"/>
        </w:rPr>
        <w:t xml:space="preserve">na staveništi neprovádět řezání dřeva motorovými pilami </w:t>
      </w:r>
    </w:p>
    <w:p w:rsidR="00F47840" w:rsidRPr="00195072" w:rsidRDefault="00F47840" w:rsidP="00F47840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>
        <w:rPr>
          <w:color w:val="000000"/>
        </w:rPr>
        <w:t xml:space="preserve">v předstihu </w:t>
      </w:r>
      <w:r w:rsidRPr="0068258C">
        <w:rPr>
          <w:color w:val="000000"/>
        </w:rPr>
        <w:t xml:space="preserve">informovat dotčené obyvatele o rozsahu stavebních prací a dočasném zhoršení akustické pohody v území a </w:t>
      </w:r>
      <w:r w:rsidRPr="00195072">
        <w:rPr>
          <w:color w:val="000000"/>
        </w:rPr>
        <w:t xml:space="preserve">ustanovit osobu odpovědnou za komunikaci s obyvateli a </w:t>
      </w:r>
      <w:r>
        <w:rPr>
          <w:color w:val="000000"/>
        </w:rPr>
        <w:t>z</w:t>
      </w:r>
      <w:r w:rsidRPr="00195072">
        <w:rPr>
          <w:color w:val="000000"/>
        </w:rPr>
        <w:t>jednávání případných nápravných opatření; kontakt na zástupce uvést na vnější ohrazení stavby; nápravy zjednat bez zbytečného prodlení</w:t>
      </w:r>
    </w:p>
    <w:p w:rsidR="00C86B56" w:rsidRDefault="00D650E5" w:rsidP="00C86B56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C86B56">
        <w:rPr>
          <w:color w:val="000000"/>
        </w:rPr>
        <w:t>v průběhu stavebních prací hlučné stroje umísťovat</w:t>
      </w:r>
      <w:r w:rsidR="00C86B56" w:rsidRPr="00C86B56">
        <w:rPr>
          <w:color w:val="000000"/>
        </w:rPr>
        <w:t xml:space="preserve"> co nejdále od bytových prostor</w:t>
      </w:r>
      <w:r w:rsidR="00C86B56">
        <w:rPr>
          <w:color w:val="000000"/>
        </w:rPr>
        <w:t xml:space="preserve">, </w:t>
      </w:r>
      <w:r w:rsidR="00C86B56" w:rsidRPr="00C86B56">
        <w:rPr>
          <w:color w:val="000000"/>
        </w:rPr>
        <w:t>za stavební objekty, aby byly zdroje hluku odstíněny</w:t>
      </w:r>
    </w:p>
    <w:p w:rsidR="00C86B56" w:rsidRPr="00C86B56" w:rsidRDefault="00C86B56" w:rsidP="00C86B56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C86B56">
        <w:rPr>
          <w:color w:val="000000"/>
        </w:rPr>
        <w:t>v případě nezbytnosti použití stabilních stavebních strojů se zvýšenou hlučností na střeše budovy, opatřit tato zařízení akustickými kryty, pneumatická zařízení opatřit tlumiči</w:t>
      </w:r>
    </w:p>
    <w:p w:rsidR="00F47840" w:rsidRDefault="00F47840" w:rsidP="00C86B56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C86B56">
        <w:rPr>
          <w:color w:val="000000"/>
        </w:rPr>
        <w:t>během hlučných operací zajistit dostatečně dlouhé přestávky tak, aby obyvatelé okolních</w:t>
      </w:r>
      <w:r w:rsidR="00C86B56">
        <w:rPr>
          <w:color w:val="000000"/>
        </w:rPr>
        <w:t xml:space="preserve"> </w:t>
      </w:r>
      <w:r w:rsidRPr="00C86B56">
        <w:rPr>
          <w:color w:val="000000"/>
        </w:rPr>
        <w:t>budov měli možnost větrání obytných místností</w:t>
      </w:r>
    </w:p>
    <w:p w:rsidR="00C86B56" w:rsidRDefault="00C86B56" w:rsidP="00C86B56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625B35">
        <w:rPr>
          <w:color w:val="000000"/>
        </w:rPr>
        <w:t>demol</w:t>
      </w:r>
      <w:r>
        <w:rPr>
          <w:color w:val="000000"/>
        </w:rPr>
        <w:t xml:space="preserve">ici části střechy zahájit až po dokončení demolic </w:t>
      </w:r>
      <w:r w:rsidRPr="00625B35">
        <w:rPr>
          <w:color w:val="000000"/>
        </w:rPr>
        <w:t>uvnitř objektu</w:t>
      </w:r>
    </w:p>
    <w:p w:rsidR="00C86B56" w:rsidRPr="00C86B56" w:rsidRDefault="00C86B56" w:rsidP="00C86B56">
      <w:pPr>
        <w:numPr>
          <w:ilvl w:val="0"/>
          <w:numId w:val="3"/>
        </w:numPr>
        <w:spacing w:before="120"/>
        <w:ind w:left="714" w:hanging="357"/>
        <w:jc w:val="both"/>
        <w:rPr>
          <w:color w:val="000000"/>
        </w:rPr>
      </w:pPr>
      <w:r w:rsidRPr="00C86B56">
        <w:rPr>
          <w:color w:val="000000"/>
        </w:rPr>
        <w:t>omez</w:t>
      </w:r>
      <w:r>
        <w:rPr>
          <w:color w:val="000000"/>
        </w:rPr>
        <w:t>it</w:t>
      </w:r>
      <w:r w:rsidRPr="00C86B56">
        <w:rPr>
          <w:color w:val="000000"/>
        </w:rPr>
        <w:t xml:space="preserve"> dob</w:t>
      </w:r>
      <w:r>
        <w:rPr>
          <w:color w:val="000000"/>
        </w:rPr>
        <w:t>u</w:t>
      </w:r>
      <w:r w:rsidRPr="00C86B56">
        <w:rPr>
          <w:color w:val="000000"/>
        </w:rPr>
        <w:t xml:space="preserve"> stavebních prací </w:t>
      </w:r>
      <w:r w:rsidR="00F93917">
        <w:rPr>
          <w:color w:val="000000"/>
        </w:rPr>
        <w:t xml:space="preserve">ve fázi demolice střechy maximálně </w:t>
      </w:r>
      <w:r w:rsidRPr="00C86B56">
        <w:rPr>
          <w:color w:val="000000"/>
        </w:rPr>
        <w:t>na 10 hodin den</w:t>
      </w:r>
      <w:r w:rsidR="00F93917">
        <w:rPr>
          <w:color w:val="000000"/>
        </w:rPr>
        <w:t>ně</w:t>
      </w:r>
      <w:r w:rsidRPr="00C86B56">
        <w:rPr>
          <w:color w:val="000000"/>
        </w:rPr>
        <w:t xml:space="preserve"> </w:t>
      </w:r>
    </w:p>
    <w:p w:rsidR="00C86B56" w:rsidRPr="004B1184" w:rsidRDefault="00F93917" w:rsidP="004B1184">
      <w:pPr>
        <w:pStyle w:val="Znaka1"/>
        <w:numPr>
          <w:ilvl w:val="0"/>
          <w:numId w:val="3"/>
        </w:numPr>
        <w:spacing w:after="40"/>
        <w:ind w:left="714" w:right="-2" w:hanging="357"/>
        <w:rPr>
          <w:color w:val="000000" w:themeColor="text1"/>
        </w:rPr>
      </w:pPr>
      <w:r w:rsidRPr="004B1184">
        <w:rPr>
          <w:color w:val="000000"/>
        </w:rPr>
        <w:t xml:space="preserve">dodržovat </w:t>
      </w:r>
      <w:r w:rsidR="004B1184" w:rsidRPr="004B1184">
        <w:rPr>
          <w:color w:val="000000"/>
        </w:rPr>
        <w:t xml:space="preserve">nasazení velmi hlučných </w:t>
      </w:r>
      <w:r w:rsidR="004B1184" w:rsidRPr="004B1184">
        <w:rPr>
          <w:color w:val="000000" w:themeColor="text1"/>
        </w:rPr>
        <w:t xml:space="preserve">stavebních mechanismů - bouracího kladiva (uvažován maximální </w:t>
      </w:r>
      <w:r w:rsidR="004B1184" w:rsidRPr="004B1184">
        <w:rPr>
          <w:color w:val="000000" w:themeColor="text1"/>
          <w:szCs w:val="24"/>
        </w:rPr>
        <w:t xml:space="preserve">povolený </w:t>
      </w:r>
      <w:r w:rsidR="004B1184" w:rsidRPr="004B1184">
        <w:rPr>
          <w:rFonts w:cs="Arial"/>
          <w:color w:val="000000" w:themeColor="text1"/>
          <w:szCs w:val="24"/>
        </w:rPr>
        <w:t>Lw</w:t>
      </w:r>
      <w:r w:rsidR="004B1184" w:rsidRPr="004B1184">
        <w:rPr>
          <w:rFonts w:cs="Arial"/>
          <w:color w:val="000000" w:themeColor="text1"/>
          <w:szCs w:val="24"/>
          <w:vertAlign w:val="subscript"/>
        </w:rPr>
        <w:t>A</w:t>
      </w:r>
      <w:r w:rsidR="004B1184" w:rsidRPr="004B1184">
        <w:rPr>
          <w:rFonts w:cs="Arial"/>
          <w:color w:val="000000" w:themeColor="text1"/>
          <w:szCs w:val="24"/>
        </w:rPr>
        <w:t xml:space="preserve"> = 105 dB</w:t>
      </w:r>
      <w:r w:rsidR="004B1184" w:rsidRPr="004B1184">
        <w:rPr>
          <w:rFonts w:cs="Arial"/>
          <w:color w:val="000000" w:themeColor="text1"/>
        </w:rPr>
        <w:t xml:space="preserve"> dle NV</w:t>
      </w:r>
      <w:r w:rsidR="004B1184" w:rsidRPr="004B1184">
        <w:rPr>
          <w:color w:val="000000" w:themeColor="text1"/>
        </w:rPr>
        <w:t xml:space="preserve"> č. 9/2002 Sb., příloha č. 4</w:t>
      </w:r>
      <w:r w:rsidR="004B1184" w:rsidRPr="004B1184">
        <w:rPr>
          <w:color w:val="000000" w:themeColor="text1"/>
          <w:szCs w:val="24"/>
        </w:rPr>
        <w:t xml:space="preserve">) a rozbrušovačky (maximální uvažovaný </w:t>
      </w:r>
      <w:r w:rsidR="004B1184" w:rsidRPr="004B1184">
        <w:rPr>
          <w:rFonts w:cs="Arial"/>
          <w:color w:val="000000" w:themeColor="text1"/>
          <w:szCs w:val="24"/>
        </w:rPr>
        <w:t>Lw</w:t>
      </w:r>
      <w:r w:rsidR="004B1184" w:rsidRPr="004B1184">
        <w:rPr>
          <w:rFonts w:cs="Arial"/>
          <w:color w:val="000000" w:themeColor="text1"/>
          <w:szCs w:val="24"/>
          <w:vertAlign w:val="subscript"/>
        </w:rPr>
        <w:t>A</w:t>
      </w:r>
      <w:r w:rsidR="004B1184" w:rsidRPr="004B1184">
        <w:rPr>
          <w:rFonts w:cs="Arial"/>
          <w:color w:val="000000" w:themeColor="text1"/>
          <w:szCs w:val="24"/>
        </w:rPr>
        <w:t xml:space="preserve"> = 106 dB</w:t>
      </w:r>
      <w:r w:rsidR="004B1184" w:rsidRPr="004B1184">
        <w:rPr>
          <w:color w:val="000000" w:themeColor="text1"/>
          <w:szCs w:val="24"/>
        </w:rPr>
        <w:t>) na plný výkon</w:t>
      </w:r>
      <w:r w:rsidR="004B1184" w:rsidRPr="004B1184">
        <w:rPr>
          <w:color w:val="000000" w:themeColor="text1"/>
        </w:rPr>
        <w:t xml:space="preserve"> maximálně 5 hodin denně, resp. 3 hodiny denně  </w:t>
      </w:r>
    </w:p>
    <w:p w:rsidR="00043CC0" w:rsidRDefault="00C86B56" w:rsidP="007676AA">
      <w:pPr>
        <w:pStyle w:val="Znaka1"/>
        <w:numPr>
          <w:ilvl w:val="0"/>
          <w:numId w:val="3"/>
        </w:numPr>
        <w:spacing w:after="40"/>
        <w:ind w:left="714" w:right="-2" w:hanging="357"/>
        <w:rPr>
          <w:color w:val="000000"/>
        </w:rPr>
      </w:pPr>
      <w:r w:rsidRPr="007676AA">
        <w:rPr>
          <w:color w:val="000000"/>
        </w:rPr>
        <w:t>na okraj střechy budovy ČSSZ umíst</w:t>
      </w:r>
      <w:r w:rsidR="004B1184" w:rsidRPr="007676AA">
        <w:rPr>
          <w:color w:val="000000"/>
        </w:rPr>
        <w:t>it</w:t>
      </w:r>
      <w:r w:rsidRPr="007676AA">
        <w:rPr>
          <w:color w:val="000000"/>
        </w:rPr>
        <w:t xml:space="preserve"> 3 m vysoké hrazení </w:t>
      </w:r>
      <w:r w:rsidR="004B1184" w:rsidRPr="007676AA">
        <w:rPr>
          <w:color w:val="000000"/>
        </w:rPr>
        <w:t>s </w:t>
      </w:r>
      <w:r w:rsidRPr="007676AA">
        <w:rPr>
          <w:color w:val="000000"/>
        </w:rPr>
        <w:t>minimální</w:t>
      </w:r>
      <w:r w:rsidR="004B1184" w:rsidRPr="007676AA">
        <w:rPr>
          <w:color w:val="000000"/>
        </w:rPr>
        <w:t xml:space="preserve"> plošnou hmotností 15 kg/m</w:t>
      </w:r>
      <w:r w:rsidR="004B1184" w:rsidRPr="007676AA">
        <w:rPr>
          <w:color w:val="000000"/>
          <w:vertAlign w:val="superscript"/>
        </w:rPr>
        <w:t>2</w:t>
      </w:r>
      <w:r w:rsidRPr="007676AA">
        <w:rPr>
          <w:color w:val="000000"/>
        </w:rPr>
        <w:t xml:space="preserve"> </w:t>
      </w:r>
      <w:r w:rsidR="004B1184" w:rsidRPr="007676AA">
        <w:rPr>
          <w:color w:val="000000"/>
        </w:rPr>
        <w:t xml:space="preserve">a </w:t>
      </w:r>
      <w:r w:rsidRPr="007676AA">
        <w:rPr>
          <w:color w:val="000000"/>
        </w:rPr>
        <w:t xml:space="preserve">rozsahu dle </w:t>
      </w:r>
      <w:r w:rsidR="004B1184" w:rsidRPr="007676AA">
        <w:rPr>
          <w:color w:val="000000"/>
        </w:rPr>
        <w:t xml:space="preserve">následujícího </w:t>
      </w:r>
      <w:r w:rsidRPr="007676AA">
        <w:rPr>
          <w:color w:val="000000"/>
        </w:rPr>
        <w:t>schématu</w:t>
      </w:r>
      <w:r w:rsidR="00EF38AD">
        <w:rPr>
          <w:color w:val="000000"/>
        </w:rPr>
        <w:t xml:space="preserve"> (tedy nejméně 11 x 6 m) </w:t>
      </w:r>
      <w:r w:rsidRPr="007676AA">
        <w:rPr>
          <w:color w:val="000000"/>
        </w:rPr>
        <w:t xml:space="preserve"> </w:t>
      </w:r>
    </w:p>
    <w:p w:rsidR="00FE5E87" w:rsidRPr="00FE5E87" w:rsidRDefault="00FE5E87" w:rsidP="00FE5E87">
      <w:pPr>
        <w:pStyle w:val="Znaka1"/>
        <w:numPr>
          <w:ilvl w:val="0"/>
          <w:numId w:val="0"/>
        </w:numPr>
        <w:spacing w:after="40"/>
        <w:ind w:left="340" w:right="-2" w:hanging="340"/>
        <w:rPr>
          <w:color w:val="000000"/>
          <w:sz w:val="12"/>
          <w:szCs w:val="12"/>
        </w:rPr>
      </w:pPr>
    </w:p>
    <w:p w:rsidR="00FE5E87" w:rsidRDefault="00FE5E87" w:rsidP="002F17A4">
      <w:pPr>
        <w:jc w:val="both"/>
        <w:rPr>
          <w:i/>
          <w:color w:val="000000"/>
        </w:rPr>
      </w:pPr>
      <w:r w:rsidRPr="003177EF">
        <w:rPr>
          <w:rFonts w:ascii="TimesNewRomanPS-ItalicMT" w:hAnsi="TimesNewRomanPS-ItalicMT" w:cs="TimesNewRomanPS-ItalicMT"/>
          <w:i/>
          <w:iCs/>
        </w:rPr>
        <w:t xml:space="preserve">Obrázek </w:t>
      </w:r>
      <w:r>
        <w:rPr>
          <w:rFonts w:ascii="TimesNewRomanPS-ItalicMT" w:hAnsi="TimesNewRomanPS-ItalicMT" w:cs="TimesNewRomanPS-ItalicMT"/>
          <w:i/>
          <w:iCs/>
        </w:rPr>
        <w:t>2</w:t>
      </w:r>
      <w:r w:rsidRPr="003177EF">
        <w:rPr>
          <w:rFonts w:ascii="TimesNewRomanPS-ItalicMT" w:hAnsi="TimesNewRomanPS-ItalicMT" w:cs="TimesNewRomanPS-ItalicMT"/>
          <w:i/>
          <w:iCs/>
        </w:rPr>
        <w:t xml:space="preserve"> - </w:t>
      </w:r>
      <w:r w:rsidRPr="003177EF">
        <w:rPr>
          <w:i/>
          <w:color w:val="000000"/>
        </w:rPr>
        <w:t xml:space="preserve">Umístění </w:t>
      </w:r>
      <w:r>
        <w:rPr>
          <w:i/>
          <w:color w:val="000000"/>
        </w:rPr>
        <w:t xml:space="preserve">protihlukové clony na okraji střechy budovy ČSSZ </w:t>
      </w: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043CC0" w:rsidRDefault="007676AA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  <w:r>
        <w:rPr>
          <w:noProof/>
          <w:color w:val="000000"/>
          <w:sz w:val="2"/>
          <w:szCs w:val="2"/>
        </w:rPr>
        <w:drawing>
          <wp:inline distT="0" distB="0" distL="0" distR="0">
            <wp:extent cx="2622430" cy="2663485"/>
            <wp:effectExtent l="19050" t="19050" r="26035" b="2286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rezentace1.jpg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23202" cy="2664269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043CC0" w:rsidRDefault="00043CC0" w:rsidP="00217579">
      <w:pPr>
        <w:pStyle w:val="Zkladntext"/>
        <w:spacing w:before="120"/>
        <w:ind w:firstLine="708"/>
        <w:jc w:val="both"/>
        <w:rPr>
          <w:color w:val="000000"/>
          <w:sz w:val="2"/>
          <w:szCs w:val="2"/>
        </w:rPr>
      </w:pPr>
    </w:p>
    <w:p w:rsidR="00290574" w:rsidRPr="00F760EF" w:rsidRDefault="00F47840" w:rsidP="002F17A4">
      <w:pPr>
        <w:pStyle w:val="Nadpis1"/>
        <w:spacing w:before="120" w:after="0"/>
        <w:rPr>
          <w:rFonts w:ascii="Times New Roman" w:hAnsi="Times New Roman" w:cs="Times New Roman"/>
          <w:bCs w:val="0"/>
          <w:color w:val="000000"/>
        </w:rPr>
      </w:pPr>
      <w:bookmarkStart w:id="52" w:name="_Toc140642848"/>
      <w:bookmarkStart w:id="53" w:name="_Toc410379013"/>
      <w:r>
        <w:rPr>
          <w:rFonts w:ascii="Times New Roman" w:hAnsi="Times New Roman" w:cs="Times New Roman"/>
          <w:bCs w:val="0"/>
          <w:color w:val="000000"/>
        </w:rPr>
        <w:t>9</w:t>
      </w:r>
      <w:r w:rsidR="00290574" w:rsidRPr="00F760EF">
        <w:rPr>
          <w:rFonts w:ascii="Times New Roman" w:hAnsi="Times New Roman" w:cs="Times New Roman"/>
          <w:bCs w:val="0"/>
          <w:color w:val="000000"/>
        </w:rPr>
        <w:t xml:space="preserve">. </w:t>
      </w:r>
      <w:r>
        <w:rPr>
          <w:rFonts w:ascii="Times New Roman" w:hAnsi="Times New Roman" w:cs="Times New Roman"/>
          <w:bCs w:val="0"/>
          <w:color w:val="000000"/>
        </w:rPr>
        <w:t>Závěr</w:t>
      </w:r>
      <w:bookmarkEnd w:id="52"/>
      <w:bookmarkEnd w:id="53"/>
    </w:p>
    <w:p w:rsidR="000167BB" w:rsidRPr="00AB1C90" w:rsidRDefault="000167BB" w:rsidP="000167BB">
      <w:pPr>
        <w:jc w:val="both"/>
        <w:rPr>
          <w:sz w:val="6"/>
          <w:szCs w:val="6"/>
        </w:rPr>
      </w:pPr>
    </w:p>
    <w:p w:rsidR="00986DFC" w:rsidRDefault="00986DFC" w:rsidP="002F17A4">
      <w:pPr>
        <w:spacing w:before="120"/>
        <w:jc w:val="both"/>
      </w:pPr>
      <w:r>
        <w:t>Předmětem předkládané</w:t>
      </w:r>
      <w:r w:rsidR="00F40E9E">
        <w:t xml:space="preserve"> studie je posouzení </w:t>
      </w:r>
      <w:r>
        <w:t>akustické</w:t>
      </w:r>
      <w:r w:rsidR="00F40E9E">
        <w:t xml:space="preserve"> zátěže ze stavební činnosti spojené s realizací projektu </w:t>
      </w:r>
      <w:r w:rsidR="00F40E9E" w:rsidRPr="002A08A5">
        <w:rPr>
          <w:rFonts w:cs="Arial"/>
        </w:rPr>
        <w:t>„</w:t>
      </w:r>
      <w:r w:rsidR="00F40E9E">
        <w:rPr>
          <w:rFonts w:cs="Arial"/>
        </w:rPr>
        <w:t xml:space="preserve">Nástavba a stavební úpravy datového centra ČSSZ, č.p. 3194, na pozemku č. parc. 745/15, k.ú. Smíchov, ulice Křížová 6a, Praha </w:t>
      </w:r>
      <w:r w:rsidR="003F3578">
        <w:rPr>
          <w:rFonts w:cs="Arial"/>
        </w:rPr>
        <w:t>5</w:t>
      </w:r>
      <w:r w:rsidR="00F40E9E">
        <w:rPr>
          <w:rFonts w:cs="Arial"/>
        </w:rPr>
        <w:t>“.</w:t>
      </w:r>
      <w:r w:rsidR="00F40E9E" w:rsidRPr="00134BEC">
        <w:rPr>
          <w:rFonts w:cs="Arial"/>
          <w:color w:val="000000"/>
        </w:rPr>
        <w:t xml:space="preserve"> </w:t>
      </w:r>
    </w:p>
    <w:p w:rsidR="00B76850" w:rsidRDefault="00B76850" w:rsidP="002F17A4">
      <w:pPr>
        <w:spacing w:before="120"/>
        <w:jc w:val="both"/>
      </w:pPr>
      <w:r>
        <w:t>P</w:t>
      </w:r>
      <w:r w:rsidRPr="00B2600B">
        <w:t>ředpoklád</w:t>
      </w:r>
      <w:r>
        <w:t>aná</w:t>
      </w:r>
      <w:r w:rsidRPr="00B2600B">
        <w:t xml:space="preserve"> </w:t>
      </w:r>
      <w:r>
        <w:t>d</w:t>
      </w:r>
      <w:r w:rsidR="00986DFC" w:rsidRPr="00B2600B">
        <w:t xml:space="preserve">élka realizace posuzované </w:t>
      </w:r>
      <w:r w:rsidR="00986DFC">
        <w:t xml:space="preserve">rekonstrukce budovy ČSSZ </w:t>
      </w:r>
      <w:r w:rsidR="00986DFC" w:rsidRPr="00B2600B">
        <w:t xml:space="preserve">je </w:t>
      </w:r>
      <w:r w:rsidR="00986DFC">
        <w:t>7 měsíců</w:t>
      </w:r>
      <w:r>
        <w:t xml:space="preserve"> s tím</w:t>
      </w:r>
      <w:r w:rsidR="00986DFC">
        <w:t>,</w:t>
      </w:r>
      <w:r>
        <w:t xml:space="preserve"> že</w:t>
      </w:r>
      <w:r w:rsidR="00986DFC">
        <w:t xml:space="preserve"> d</w:t>
      </w:r>
      <w:r>
        <w:t xml:space="preserve">élka </w:t>
      </w:r>
      <w:r w:rsidR="00986DFC">
        <w:t xml:space="preserve">nejhlučnějších </w:t>
      </w:r>
      <w:r>
        <w:t xml:space="preserve">stavebních </w:t>
      </w:r>
      <w:r w:rsidR="00986DFC">
        <w:t>prací (demoličních prací a nadstavby 6. NP</w:t>
      </w:r>
      <w:r>
        <w:t>)</w:t>
      </w:r>
      <w:r w:rsidR="00986DFC">
        <w:t xml:space="preserve"> </w:t>
      </w:r>
      <w:r>
        <w:t xml:space="preserve">nepřesáhne </w:t>
      </w:r>
      <w:r w:rsidR="00986DFC">
        <w:t xml:space="preserve">dva </w:t>
      </w:r>
      <w:r w:rsidR="00986DFC" w:rsidRPr="007C20FF">
        <w:t>měsíce.</w:t>
      </w:r>
      <w:r>
        <w:t xml:space="preserve"> Předpokládaná doba trvání nehlučnější činnosti – demolice části střechy nepřesáhne 7 dní.</w:t>
      </w:r>
      <w:r w:rsidR="00986DFC">
        <w:t xml:space="preserve"> </w:t>
      </w:r>
    </w:p>
    <w:p w:rsidR="00B76850" w:rsidRDefault="00B76850" w:rsidP="002F17A4">
      <w:pPr>
        <w:spacing w:before="120"/>
        <w:jc w:val="both"/>
      </w:pPr>
      <w:r>
        <w:t>Modelové posouzení hlukové zátěže bylo provedeno pro výše uvedené nehlučnější fáze výstavby, při kterých budou použity nejhlučnější stavební mechanismy</w:t>
      </w:r>
      <w:r w:rsidR="002F17A4">
        <w:t>,</w:t>
      </w:r>
      <w:r>
        <w:t xml:space="preserve"> </w:t>
      </w:r>
      <w:r w:rsidR="002F17A4">
        <w:t xml:space="preserve">umístěné </w:t>
      </w:r>
      <w:r>
        <w:t>nejblíže chráněné bytové zástavby</w:t>
      </w:r>
      <w:r w:rsidR="002F17A4">
        <w:t xml:space="preserve"> a zároveň lze očekávat nejvyšší frekvence obslužné staveništní dopravy</w:t>
      </w:r>
      <w:r>
        <w:t xml:space="preserve">. </w:t>
      </w:r>
      <w:r w:rsidR="002F17A4">
        <w:t>Z výsledků posouzení plyne</w:t>
      </w:r>
      <w:r>
        <w:t>, že za dodržení navržených protihlukových opatření nejhlučnější stavební práce nepovedou k překročení hygienických limitů pro hluk z výstavby stanovených nařízením vlády 272/2011 Sb. v chráněném venkovním prostoru nejbližších staveb, tj. bytových domů situovaných v Křížové ulici. Stejně tak nebude překročen hygienický limit pro hluk z </w:t>
      </w:r>
      <w:r w:rsidR="002F17A4">
        <w:t>obslužné staveništní dopravy</w:t>
      </w:r>
      <w:r>
        <w:t>.</w:t>
      </w:r>
    </w:p>
    <w:p w:rsidR="002F17A4" w:rsidRDefault="002F17A4" w:rsidP="002F17A4">
      <w:pPr>
        <w:spacing w:before="120"/>
        <w:jc w:val="both"/>
      </w:pPr>
      <w:r>
        <w:t xml:space="preserve">Specifická protihluková opatření </w:t>
      </w:r>
      <w:r w:rsidR="00740965">
        <w:t>(použití protihlukové clony, omezení stavebních prací nejvýše na 10 hodin denně</w:t>
      </w:r>
      <w:r w:rsidR="00617547">
        <w:t>, omezení pracovní doby nejhlučnějších stavebních mechanismů</w:t>
      </w:r>
      <w:r w:rsidR="00740965">
        <w:t xml:space="preserve">) </w:t>
      </w:r>
      <w:r>
        <w:t xml:space="preserve">byla stanovena pro fázi demolice části střechy budovy ČSSZ. </w:t>
      </w:r>
    </w:p>
    <w:p w:rsidR="00B76850" w:rsidRDefault="00B76850" w:rsidP="002F17A4">
      <w:pPr>
        <w:pStyle w:val="Znaka1"/>
        <w:numPr>
          <w:ilvl w:val="0"/>
          <w:numId w:val="0"/>
        </w:numPr>
        <w:rPr>
          <w:color w:val="000000"/>
        </w:rPr>
      </w:pPr>
      <w:r w:rsidRPr="00204674">
        <w:rPr>
          <w:color w:val="000000"/>
        </w:rPr>
        <w:t xml:space="preserve">Současně je nezbytné respektovat případná stanoviska odpovědného orgánu </w:t>
      </w:r>
      <w:r w:rsidRPr="00204674">
        <w:rPr>
          <w:rFonts w:ascii="TimesNewRomanPS-ItalicMT" w:hAnsi="TimesNewRomanPS-ItalicMT" w:cs="TimesNewRomanPS-ItalicMT"/>
          <w:iCs/>
          <w:color w:val="000000"/>
          <w:szCs w:val="24"/>
        </w:rPr>
        <w:t>ochrany veřejného zdraví</w:t>
      </w:r>
      <w:r w:rsidRPr="00204674">
        <w:rPr>
          <w:color w:val="000000"/>
        </w:rPr>
        <w:t xml:space="preserve"> k</w:t>
      </w:r>
      <w:r>
        <w:rPr>
          <w:color w:val="000000"/>
        </w:rPr>
        <w:t> </w:t>
      </w:r>
      <w:r w:rsidRPr="00204674">
        <w:rPr>
          <w:color w:val="000000"/>
        </w:rPr>
        <w:t xml:space="preserve">využití hlukových korekcí </w:t>
      </w:r>
      <w:r>
        <w:rPr>
          <w:color w:val="000000"/>
        </w:rPr>
        <w:t xml:space="preserve">či návrhy </w:t>
      </w:r>
      <w:r w:rsidRPr="00204674">
        <w:rPr>
          <w:color w:val="000000"/>
        </w:rPr>
        <w:t>protihlukov</w:t>
      </w:r>
      <w:r>
        <w:rPr>
          <w:color w:val="000000"/>
        </w:rPr>
        <w:t>ých</w:t>
      </w:r>
      <w:r w:rsidRPr="00204674">
        <w:rPr>
          <w:color w:val="000000"/>
        </w:rPr>
        <w:t xml:space="preserve"> opatření.</w:t>
      </w:r>
    </w:p>
    <w:p w:rsidR="00986DFC" w:rsidRDefault="00986DFC" w:rsidP="002F17A4">
      <w:pPr>
        <w:spacing w:before="120"/>
        <w:jc w:val="both"/>
      </w:pPr>
      <w:r>
        <w:t xml:space="preserve">Ostatní fáze rekonstrukce (úprava vnitřních dispozic, oprava fasád a zateplení, instalace vnitřního zařízení, apod.) budou </w:t>
      </w:r>
      <w:r w:rsidR="00BC7F0C">
        <w:t xml:space="preserve">z </w:t>
      </w:r>
      <w:r>
        <w:t>akustického i dopravního hlediska představovat významně nižší hlukovou zátěž</w:t>
      </w:r>
      <w:r w:rsidR="00B76850">
        <w:t xml:space="preserve"> a hygienický limit pro hluk ze stavební činnosti bude dodržen</w:t>
      </w:r>
      <w:r>
        <w:t xml:space="preserve">.  </w:t>
      </w:r>
    </w:p>
    <w:p w:rsidR="00653612" w:rsidRPr="002F17A4" w:rsidRDefault="00653612" w:rsidP="004F5533">
      <w:pPr>
        <w:pStyle w:val="Zkladntextodsazen"/>
        <w:spacing w:before="0"/>
        <w:ind w:firstLine="0"/>
        <w:rPr>
          <w:sz w:val="20"/>
        </w:rPr>
      </w:pPr>
    </w:p>
    <w:p w:rsidR="00653612" w:rsidRPr="001D3682" w:rsidRDefault="00653612" w:rsidP="004F5533">
      <w:pPr>
        <w:pStyle w:val="Zkladntextodsazen"/>
        <w:ind w:firstLine="0"/>
        <w:jc w:val="left"/>
        <w:rPr>
          <w:sz w:val="6"/>
          <w:szCs w:val="6"/>
        </w:rPr>
      </w:pPr>
      <w:r>
        <w:rPr>
          <w:szCs w:val="24"/>
        </w:rPr>
        <w:t xml:space="preserve">Praha, </w:t>
      </w:r>
      <w:r w:rsidR="00617547">
        <w:rPr>
          <w:szCs w:val="24"/>
        </w:rPr>
        <w:t>30</w:t>
      </w:r>
      <w:r>
        <w:rPr>
          <w:szCs w:val="24"/>
        </w:rPr>
        <w:t xml:space="preserve">. </w:t>
      </w:r>
      <w:r w:rsidR="00D31837">
        <w:rPr>
          <w:szCs w:val="24"/>
        </w:rPr>
        <w:t>ledna 201</w:t>
      </w:r>
      <w:r w:rsidR="00B955A0">
        <w:rPr>
          <w:szCs w:val="24"/>
        </w:rPr>
        <w:t>5</w:t>
      </w:r>
      <w:r w:rsidR="001D3682">
        <w:rPr>
          <w:szCs w:val="24"/>
        </w:rPr>
        <w:tab/>
      </w:r>
      <w:r w:rsidR="00127828">
        <w:rPr>
          <w:szCs w:val="24"/>
        </w:rPr>
        <w:tab/>
      </w:r>
      <w:r w:rsidR="00127828">
        <w:rPr>
          <w:szCs w:val="24"/>
        </w:rPr>
        <w:tab/>
      </w:r>
      <w:r w:rsidR="00127828">
        <w:rPr>
          <w:szCs w:val="24"/>
        </w:rPr>
        <w:tab/>
      </w:r>
      <w:r w:rsidR="00127828">
        <w:rPr>
          <w:szCs w:val="24"/>
        </w:rPr>
        <w:tab/>
      </w:r>
      <w:r w:rsidR="00127828">
        <w:rPr>
          <w:szCs w:val="24"/>
        </w:rPr>
        <w:tab/>
      </w:r>
      <w:r>
        <w:rPr>
          <w:szCs w:val="24"/>
        </w:rPr>
        <w:t>Předložen</w:t>
      </w:r>
      <w:r w:rsidR="00D31837">
        <w:rPr>
          <w:szCs w:val="24"/>
        </w:rPr>
        <w:t>é</w:t>
      </w:r>
      <w:r>
        <w:rPr>
          <w:szCs w:val="24"/>
        </w:rPr>
        <w:t xml:space="preserve"> </w:t>
      </w:r>
      <w:r w:rsidR="00D31837">
        <w:rPr>
          <w:szCs w:val="24"/>
        </w:rPr>
        <w:t>posouzení</w:t>
      </w:r>
      <w:r>
        <w:rPr>
          <w:szCs w:val="24"/>
        </w:rPr>
        <w:t xml:space="preserve"> zpracoval:</w:t>
      </w:r>
      <w:r>
        <w:rPr>
          <w:szCs w:val="24"/>
        </w:rPr>
        <w:tab/>
      </w:r>
    </w:p>
    <w:p w:rsidR="00653612" w:rsidRPr="00D82457" w:rsidRDefault="004F5533" w:rsidP="004F5533">
      <w:pPr>
        <w:pStyle w:val="Zkladntextodsazen"/>
        <w:ind w:firstLine="0"/>
        <w:jc w:val="left"/>
        <w:rPr>
          <w:color w:val="0000FF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</w:t>
      </w:r>
      <w:r w:rsidR="00653612">
        <w:t xml:space="preserve">Ing. </w:t>
      </w:r>
      <w:smartTag w:uri="urn:schemas-microsoft-com:office:smarttags" w:element="PersonName">
        <w:smartTagPr>
          <w:attr w:name="ProductID" w:val="Aleš Kulhánek"/>
        </w:smartTagPr>
        <w:r w:rsidR="00653612">
          <w:t>Aleš Kulhánek</w:t>
        </w:r>
      </w:smartTag>
      <w:r w:rsidR="00653612">
        <w:t>, Ph.D.</w:t>
      </w:r>
      <w:r w:rsidR="00653612">
        <w:rPr>
          <w:color w:val="0000FF"/>
        </w:rPr>
        <w:t xml:space="preserve"> </w:t>
      </w:r>
    </w:p>
    <w:p w:rsidR="00653612" w:rsidRDefault="00653612"/>
    <w:sectPr w:rsidR="00653612" w:rsidSect="006C1E69">
      <w:headerReference w:type="default" r:id="rId13"/>
      <w:footerReference w:type="default" r:id="rId14"/>
      <w:headerReference w:type="first" r:id="rId15"/>
      <w:footerReference w:type="first" r:id="rId16"/>
      <w:pgSz w:w="11906" w:h="16838"/>
      <w:pgMar w:top="1701" w:right="1418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E6CAA" w:rsidRDefault="00DE6CAA">
      <w:r>
        <w:separator/>
      </w:r>
    </w:p>
  </w:endnote>
  <w:endnote w:type="continuationSeparator" w:id="0">
    <w:p w:rsidR="00DE6CAA" w:rsidRDefault="00DE6C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NewRomanPSMT">
    <w:altName w:val="Times New Roman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  <w:font w:name="TimesNewRomanPS-ItalicMT">
    <w:altName w:val="Times New Roman"/>
    <w:charset w:val="00"/>
    <w:family w:val="auto"/>
    <w:pitch w:val="default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NewRomanPS-Bold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90" w:rsidRDefault="008B5F90" w:rsidP="008B5EE0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40D4">
      <w:rPr>
        <w:rStyle w:val="slostrnky"/>
        <w:noProof/>
      </w:rPr>
      <w:t>5</w:t>
    </w:r>
    <w:r>
      <w:rPr>
        <w:rStyle w:val="slostrnky"/>
      </w:rPr>
      <w:fldChar w:fldCharType="end"/>
    </w:r>
  </w:p>
  <w:p w:rsidR="008B5F90" w:rsidRPr="00923829" w:rsidRDefault="008B5F90" w:rsidP="00D47309">
    <w:pPr>
      <w:pStyle w:val="Zpat"/>
      <w:pBdr>
        <w:top w:val="single" w:sz="4" w:space="1" w:color="auto"/>
      </w:pBdr>
      <w:ind w:right="360"/>
      <w:rPr>
        <w:i/>
      </w:rPr>
    </w:pPr>
    <w:r>
      <w:rPr>
        <w:bCs/>
        <w:i/>
        <w:iCs/>
        <w:sz w:val="18"/>
      </w:rPr>
      <w:t xml:space="preserve">Datové centrum ČSSZ </w:t>
    </w:r>
    <w:r w:rsidRPr="00923829">
      <w:rPr>
        <w:bCs/>
        <w:i/>
        <w:iCs/>
        <w:sz w:val="18"/>
      </w:rPr>
      <w:t xml:space="preserve"> – </w:t>
    </w:r>
    <w:r>
      <w:rPr>
        <w:bCs/>
        <w:i/>
        <w:iCs/>
        <w:sz w:val="18"/>
      </w:rPr>
      <w:t>P</w:t>
    </w:r>
    <w:r w:rsidRPr="00923829">
      <w:rPr>
        <w:bCs/>
        <w:i/>
        <w:iCs/>
        <w:sz w:val="18"/>
      </w:rPr>
      <w:t xml:space="preserve">osouzení hlukové zátěže z výstavby                        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90" w:rsidRDefault="008B5F90" w:rsidP="002A3364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separate"/>
    </w:r>
    <w:r w:rsidR="00A940D4">
      <w:rPr>
        <w:rStyle w:val="slostrnky"/>
        <w:noProof/>
      </w:rPr>
      <w:t>1</w:t>
    </w:r>
    <w:r>
      <w:rPr>
        <w:rStyle w:val="slostrnky"/>
      </w:rPr>
      <w:fldChar w:fldCharType="end"/>
    </w:r>
  </w:p>
  <w:p w:rsidR="008B5F90" w:rsidRPr="00923829" w:rsidRDefault="008B5F90" w:rsidP="00D47309">
    <w:pPr>
      <w:pStyle w:val="Zpat"/>
      <w:pBdr>
        <w:top w:val="single" w:sz="4" w:space="1" w:color="auto"/>
      </w:pBdr>
      <w:ind w:right="360"/>
      <w:rPr>
        <w:i/>
      </w:rPr>
    </w:pPr>
    <w:r>
      <w:rPr>
        <w:bCs/>
        <w:i/>
        <w:iCs/>
        <w:sz w:val="18"/>
      </w:rPr>
      <w:t xml:space="preserve">Obchodní centrum Lužiny, Doplněk akustické studie </w:t>
    </w:r>
    <w:r w:rsidRPr="00923829">
      <w:rPr>
        <w:bCs/>
        <w:i/>
        <w:iCs/>
        <w:sz w:val="18"/>
      </w:rPr>
      <w:t xml:space="preserve"> – </w:t>
    </w:r>
    <w:r>
      <w:rPr>
        <w:bCs/>
        <w:i/>
        <w:iCs/>
        <w:sz w:val="18"/>
      </w:rPr>
      <w:t>p</w:t>
    </w:r>
    <w:r w:rsidRPr="00923829">
      <w:rPr>
        <w:bCs/>
        <w:i/>
        <w:iCs/>
        <w:sz w:val="18"/>
      </w:rPr>
      <w:t xml:space="preserve">osouzení hlukové zátěže z výstavby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E6CAA" w:rsidRDefault="00DE6CAA">
      <w:r>
        <w:separator/>
      </w:r>
    </w:p>
  </w:footnote>
  <w:footnote w:type="continuationSeparator" w:id="0">
    <w:p w:rsidR="00DE6CAA" w:rsidRDefault="00DE6CA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90" w:rsidRDefault="00A940D4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2158" type="#_x0000_t75" style="position:absolute;margin-left:0;margin-top:0;width:595.2pt;height:841.45pt;z-index:-251659264;mso-position-horizontal:center;mso-position-horizontal-relative:margin;mso-position-vertical:center;mso-position-vertical-relative:margin" o:allowincell="f">
          <v:imagedata r:id="rId1" o:title="hlav_papir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B5F90" w:rsidRDefault="00A940D4" w:rsidP="005C0651">
    <w:pPr>
      <w:pStyle w:val="Zhlav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161" type="#_x0000_t75" style="position:absolute;margin-left:0;margin-top:0;width:595.2pt;height:841.45pt;z-index:-251658240;mso-position-horizontal:center;mso-position-horizontal-relative:margin;mso-position-vertical:center;mso-position-vertical-relative:margin" o:allowincell="f">
          <v:imagedata r:id="rId1" o:title="hlav_papir"/>
          <w10:wrap anchorx="margin" anchory="margin"/>
        </v:shape>
      </w:pict>
    </w:r>
  </w:p>
  <w:p w:rsidR="008B5F90" w:rsidRDefault="008B5F90" w:rsidP="008B5EE0">
    <w:pPr>
      <w:pStyle w:val="Zhlav"/>
    </w:pPr>
  </w:p>
  <w:p w:rsidR="008B5F90" w:rsidRDefault="008B5F90" w:rsidP="008B5EE0">
    <w:pPr>
      <w:pStyle w:val="Zhlav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F08631B"/>
    <w:multiLevelType w:val="hybridMultilevel"/>
    <w:tmpl w:val="2C565AA0"/>
    <w:name w:val="WW8Num4"/>
    <w:lvl w:ilvl="0" w:tplc="FFFFFFFF">
      <w:start w:val="1"/>
      <w:numFmt w:val="bullet"/>
      <w:lvlText w:val=""/>
      <w:lvlJc w:val="left"/>
      <w:pPr>
        <w:tabs>
          <w:tab w:val="num" w:pos="1784"/>
        </w:tabs>
        <w:ind w:left="1784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18B76795"/>
    <w:multiLevelType w:val="hybridMultilevel"/>
    <w:tmpl w:val="31168C9E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E817FB9"/>
    <w:multiLevelType w:val="singleLevel"/>
    <w:tmpl w:val="FFFFFFFF"/>
    <w:lvl w:ilvl="0">
      <w:numFmt w:val="decimal"/>
      <w:lvlText w:val="*"/>
      <w:lvlJc w:val="left"/>
    </w:lvl>
  </w:abstractNum>
  <w:abstractNum w:abstractNumId="4">
    <w:nsid w:val="2B2C7A2E"/>
    <w:multiLevelType w:val="hybridMultilevel"/>
    <w:tmpl w:val="9D5661DA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446A5D82"/>
    <w:multiLevelType w:val="hybridMultilevel"/>
    <w:tmpl w:val="39CCB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047079C"/>
    <w:multiLevelType w:val="singleLevel"/>
    <w:tmpl w:val="04050005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</w:abstractNum>
  <w:abstractNum w:abstractNumId="7">
    <w:nsid w:val="54726620"/>
    <w:multiLevelType w:val="hybridMultilevel"/>
    <w:tmpl w:val="CC6842B0"/>
    <w:lvl w:ilvl="0" w:tplc="FFFFFFFF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555D0836"/>
    <w:multiLevelType w:val="singleLevel"/>
    <w:tmpl w:val="FFFFFFFF"/>
    <w:lvl w:ilvl="0">
      <w:numFmt w:val="decimal"/>
      <w:lvlText w:val="*"/>
      <w:lvlJc w:val="left"/>
    </w:lvl>
  </w:abstractNum>
  <w:abstractNum w:abstractNumId="9">
    <w:nsid w:val="555E37EA"/>
    <w:multiLevelType w:val="hybridMultilevel"/>
    <w:tmpl w:val="5A387686"/>
    <w:lvl w:ilvl="0" w:tplc="04050005">
      <w:start w:val="1"/>
      <w:numFmt w:val="bullet"/>
      <w:pStyle w:val="Znaka1"/>
      <w:lvlText w:val=""/>
      <w:lvlJc w:val="left"/>
      <w:pPr>
        <w:tabs>
          <w:tab w:val="num" w:pos="360"/>
        </w:tabs>
        <w:ind w:left="340" w:hanging="340"/>
      </w:pPr>
      <w:rPr>
        <w:rFonts w:ascii="Symbol" w:hAnsi="Symbol" w:hint="default"/>
        <w:b w:val="0"/>
        <w:i w:val="0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pStyle w:val="Textpsmene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60B957C6"/>
    <w:multiLevelType w:val="singleLevel"/>
    <w:tmpl w:val="FFFFFFFF"/>
    <w:lvl w:ilvl="0">
      <w:numFmt w:val="decimal"/>
      <w:lvlText w:val="*"/>
      <w:lvlJc w:val="left"/>
    </w:lvl>
  </w:abstractNum>
  <w:abstractNum w:abstractNumId="11">
    <w:nsid w:val="67671F01"/>
    <w:multiLevelType w:val="hybridMultilevel"/>
    <w:tmpl w:val="88D85C3A"/>
    <w:lvl w:ilvl="0" w:tplc="7CDC69F8">
      <w:start w:val="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Arial Unicode MS" w:hAnsi="Times New Roman" w:cs="Times New Roman" w:hint="default"/>
      </w:rPr>
    </w:lvl>
    <w:lvl w:ilvl="1" w:tplc="A68AA97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60A6341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5F2216B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422437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7FE040B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1689EFE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60C1CA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8F5C5BF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963" w:hanging="283"/>
        </w:pPr>
        <w:rPr>
          <w:rFonts w:ascii="Symbol" w:hAnsi="Symbol" w:hint="default"/>
          <w:sz w:val="20"/>
        </w:rPr>
      </w:lvl>
    </w:lvlOverride>
  </w:num>
  <w:num w:numId="3">
    <w:abstractNumId w:val="11"/>
  </w:num>
  <w:num w:numId="4">
    <w:abstractNumId w:val="5"/>
  </w:num>
  <w:num w:numId="5">
    <w:abstractNumId w:val="6"/>
  </w:num>
  <w:num w:numId="6">
    <w:abstractNumId w:val="9"/>
  </w:num>
  <w:num w:numId="7">
    <w:abstractNumId w:val="8"/>
  </w:num>
  <w:num w:numId="8">
    <w:abstractNumId w:val="9"/>
  </w:num>
  <w:num w:numId="9">
    <w:abstractNumId w:val="9"/>
  </w:num>
  <w:num w:numId="10">
    <w:abstractNumId w:val="2"/>
  </w:num>
  <w:num w:numId="11">
    <w:abstractNumId w:val="10"/>
  </w:num>
  <w:num w:numId="12">
    <w:abstractNumId w:val="9"/>
  </w:num>
  <w:num w:numId="13">
    <w:abstractNumId w:val="4"/>
  </w:num>
  <w:num w:numId="14">
    <w:abstractNumId w:val="7"/>
  </w:num>
  <w:num w:numId="15">
    <w:abstractNumId w:val="3"/>
  </w:num>
  <w:num w:numId="16">
    <w:abstractNumId w:val="9"/>
  </w:num>
  <w:num w:numId="17">
    <w:abstractNumId w:val="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1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46BE"/>
    <w:rsid w:val="000020AB"/>
    <w:rsid w:val="00004C8F"/>
    <w:rsid w:val="00005B5B"/>
    <w:rsid w:val="00006B35"/>
    <w:rsid w:val="0001212A"/>
    <w:rsid w:val="000167BB"/>
    <w:rsid w:val="00017B32"/>
    <w:rsid w:val="000249D2"/>
    <w:rsid w:val="00033E70"/>
    <w:rsid w:val="00035BA0"/>
    <w:rsid w:val="00036289"/>
    <w:rsid w:val="00041910"/>
    <w:rsid w:val="000436E3"/>
    <w:rsid w:val="00043CC0"/>
    <w:rsid w:val="0004747E"/>
    <w:rsid w:val="0005083E"/>
    <w:rsid w:val="0005218F"/>
    <w:rsid w:val="00057E00"/>
    <w:rsid w:val="00060133"/>
    <w:rsid w:val="00063643"/>
    <w:rsid w:val="00065A66"/>
    <w:rsid w:val="00070969"/>
    <w:rsid w:val="00073DA1"/>
    <w:rsid w:val="00074380"/>
    <w:rsid w:val="00075F05"/>
    <w:rsid w:val="000775D7"/>
    <w:rsid w:val="00081E8E"/>
    <w:rsid w:val="00090111"/>
    <w:rsid w:val="00094038"/>
    <w:rsid w:val="00095599"/>
    <w:rsid w:val="00096B1D"/>
    <w:rsid w:val="000A2349"/>
    <w:rsid w:val="000A34DC"/>
    <w:rsid w:val="000A35B2"/>
    <w:rsid w:val="000A4737"/>
    <w:rsid w:val="000A76D2"/>
    <w:rsid w:val="000B3F79"/>
    <w:rsid w:val="000B762F"/>
    <w:rsid w:val="000C5FBC"/>
    <w:rsid w:val="000C7052"/>
    <w:rsid w:val="000D53BB"/>
    <w:rsid w:val="000D5780"/>
    <w:rsid w:val="000E4315"/>
    <w:rsid w:val="000E67D6"/>
    <w:rsid w:val="000F2726"/>
    <w:rsid w:val="000F3080"/>
    <w:rsid w:val="000F7590"/>
    <w:rsid w:val="00107794"/>
    <w:rsid w:val="00107B78"/>
    <w:rsid w:val="001215BE"/>
    <w:rsid w:val="00125978"/>
    <w:rsid w:val="00127828"/>
    <w:rsid w:val="001334C8"/>
    <w:rsid w:val="001348F9"/>
    <w:rsid w:val="00134BEC"/>
    <w:rsid w:val="00140FB6"/>
    <w:rsid w:val="00141620"/>
    <w:rsid w:val="00142F2E"/>
    <w:rsid w:val="00146B29"/>
    <w:rsid w:val="0015218E"/>
    <w:rsid w:val="00153A31"/>
    <w:rsid w:val="00155DCD"/>
    <w:rsid w:val="001636C1"/>
    <w:rsid w:val="001720B4"/>
    <w:rsid w:val="00174D6F"/>
    <w:rsid w:val="00175B5F"/>
    <w:rsid w:val="00177597"/>
    <w:rsid w:val="001807AA"/>
    <w:rsid w:val="00180C5E"/>
    <w:rsid w:val="00182998"/>
    <w:rsid w:val="0018565B"/>
    <w:rsid w:val="00187668"/>
    <w:rsid w:val="001915C9"/>
    <w:rsid w:val="00192DB8"/>
    <w:rsid w:val="00195072"/>
    <w:rsid w:val="00197EBE"/>
    <w:rsid w:val="001B34BF"/>
    <w:rsid w:val="001C0D93"/>
    <w:rsid w:val="001C15F7"/>
    <w:rsid w:val="001C1C09"/>
    <w:rsid w:val="001C216A"/>
    <w:rsid w:val="001C5886"/>
    <w:rsid w:val="001C6F90"/>
    <w:rsid w:val="001C746B"/>
    <w:rsid w:val="001D031E"/>
    <w:rsid w:val="001D1537"/>
    <w:rsid w:val="001D3682"/>
    <w:rsid w:val="001D60F0"/>
    <w:rsid w:val="001D7037"/>
    <w:rsid w:val="001D71C8"/>
    <w:rsid w:val="001D7511"/>
    <w:rsid w:val="001E35E7"/>
    <w:rsid w:val="001E3EB7"/>
    <w:rsid w:val="001E4052"/>
    <w:rsid w:val="001E5B63"/>
    <w:rsid w:val="001E5BE2"/>
    <w:rsid w:val="001E5F75"/>
    <w:rsid w:val="001E6241"/>
    <w:rsid w:val="001E6C77"/>
    <w:rsid w:val="001E6CA0"/>
    <w:rsid w:val="001F20B8"/>
    <w:rsid w:val="001F2E92"/>
    <w:rsid w:val="001F5A28"/>
    <w:rsid w:val="001F7725"/>
    <w:rsid w:val="00211BF4"/>
    <w:rsid w:val="00215EA1"/>
    <w:rsid w:val="00217579"/>
    <w:rsid w:val="0022150F"/>
    <w:rsid w:val="0022276A"/>
    <w:rsid w:val="00222E15"/>
    <w:rsid w:val="00224E0A"/>
    <w:rsid w:val="002250C2"/>
    <w:rsid w:val="00227BC1"/>
    <w:rsid w:val="00231AF0"/>
    <w:rsid w:val="002333A1"/>
    <w:rsid w:val="00233CE9"/>
    <w:rsid w:val="00234843"/>
    <w:rsid w:val="00235168"/>
    <w:rsid w:val="002355B2"/>
    <w:rsid w:val="002355D0"/>
    <w:rsid w:val="00236CF5"/>
    <w:rsid w:val="00237CEA"/>
    <w:rsid w:val="00242F90"/>
    <w:rsid w:val="0024434B"/>
    <w:rsid w:val="0025427E"/>
    <w:rsid w:val="00255B7F"/>
    <w:rsid w:val="00263777"/>
    <w:rsid w:val="00266848"/>
    <w:rsid w:val="00281895"/>
    <w:rsid w:val="00283CE0"/>
    <w:rsid w:val="00290574"/>
    <w:rsid w:val="00296E47"/>
    <w:rsid w:val="002A08A5"/>
    <w:rsid w:val="002A3364"/>
    <w:rsid w:val="002A72CE"/>
    <w:rsid w:val="002B1453"/>
    <w:rsid w:val="002B4EEF"/>
    <w:rsid w:val="002B78CF"/>
    <w:rsid w:val="002C2232"/>
    <w:rsid w:val="002C32C3"/>
    <w:rsid w:val="002C6EBB"/>
    <w:rsid w:val="002C7501"/>
    <w:rsid w:val="002D161B"/>
    <w:rsid w:val="002D5F3E"/>
    <w:rsid w:val="002E03F8"/>
    <w:rsid w:val="002E1156"/>
    <w:rsid w:val="002E1C6A"/>
    <w:rsid w:val="002E4B73"/>
    <w:rsid w:val="002F05EA"/>
    <w:rsid w:val="002F17A4"/>
    <w:rsid w:val="002F3E5C"/>
    <w:rsid w:val="002F48AE"/>
    <w:rsid w:val="002F4A75"/>
    <w:rsid w:val="002F7166"/>
    <w:rsid w:val="00302CD9"/>
    <w:rsid w:val="00303228"/>
    <w:rsid w:val="00303AC2"/>
    <w:rsid w:val="00304307"/>
    <w:rsid w:val="00305794"/>
    <w:rsid w:val="00312BBF"/>
    <w:rsid w:val="00313E71"/>
    <w:rsid w:val="0031545A"/>
    <w:rsid w:val="00315849"/>
    <w:rsid w:val="003168C2"/>
    <w:rsid w:val="003177EF"/>
    <w:rsid w:val="00317875"/>
    <w:rsid w:val="00322CBA"/>
    <w:rsid w:val="0032337A"/>
    <w:rsid w:val="00330EA8"/>
    <w:rsid w:val="003349BC"/>
    <w:rsid w:val="00337EAA"/>
    <w:rsid w:val="003405B7"/>
    <w:rsid w:val="00340898"/>
    <w:rsid w:val="003439EF"/>
    <w:rsid w:val="00343E7E"/>
    <w:rsid w:val="00344C8E"/>
    <w:rsid w:val="00351A2E"/>
    <w:rsid w:val="00352601"/>
    <w:rsid w:val="0035563E"/>
    <w:rsid w:val="00357F40"/>
    <w:rsid w:val="003627B4"/>
    <w:rsid w:val="00364072"/>
    <w:rsid w:val="00370869"/>
    <w:rsid w:val="003741B3"/>
    <w:rsid w:val="00381C8A"/>
    <w:rsid w:val="003833D2"/>
    <w:rsid w:val="00383DD4"/>
    <w:rsid w:val="00387CED"/>
    <w:rsid w:val="003946BE"/>
    <w:rsid w:val="003949FC"/>
    <w:rsid w:val="003959EA"/>
    <w:rsid w:val="003A7937"/>
    <w:rsid w:val="003B2047"/>
    <w:rsid w:val="003B5328"/>
    <w:rsid w:val="003C0FA2"/>
    <w:rsid w:val="003C3259"/>
    <w:rsid w:val="003C6884"/>
    <w:rsid w:val="003D0CFA"/>
    <w:rsid w:val="003D0D1B"/>
    <w:rsid w:val="003D3FB5"/>
    <w:rsid w:val="003D4571"/>
    <w:rsid w:val="003E0802"/>
    <w:rsid w:val="003E0CFA"/>
    <w:rsid w:val="003E2C1D"/>
    <w:rsid w:val="003E3DDC"/>
    <w:rsid w:val="003E7C8C"/>
    <w:rsid w:val="003F0E36"/>
    <w:rsid w:val="003F0FF8"/>
    <w:rsid w:val="003F2219"/>
    <w:rsid w:val="003F3392"/>
    <w:rsid w:val="003F3578"/>
    <w:rsid w:val="003F5F17"/>
    <w:rsid w:val="00400E1E"/>
    <w:rsid w:val="004037D1"/>
    <w:rsid w:val="00405459"/>
    <w:rsid w:val="00412073"/>
    <w:rsid w:val="004150B7"/>
    <w:rsid w:val="00422C94"/>
    <w:rsid w:val="0043150A"/>
    <w:rsid w:val="004318B2"/>
    <w:rsid w:val="004319D0"/>
    <w:rsid w:val="00435578"/>
    <w:rsid w:val="0044052C"/>
    <w:rsid w:val="00444313"/>
    <w:rsid w:val="00446044"/>
    <w:rsid w:val="00450D94"/>
    <w:rsid w:val="00451C08"/>
    <w:rsid w:val="004523D1"/>
    <w:rsid w:val="00452DA5"/>
    <w:rsid w:val="00455FD5"/>
    <w:rsid w:val="00463175"/>
    <w:rsid w:val="00465393"/>
    <w:rsid w:val="00466204"/>
    <w:rsid w:val="00466FE9"/>
    <w:rsid w:val="004708D7"/>
    <w:rsid w:val="00472D65"/>
    <w:rsid w:val="00474627"/>
    <w:rsid w:val="00476D77"/>
    <w:rsid w:val="00477093"/>
    <w:rsid w:val="004802B9"/>
    <w:rsid w:val="00481AC6"/>
    <w:rsid w:val="0048750C"/>
    <w:rsid w:val="00491481"/>
    <w:rsid w:val="00495A2F"/>
    <w:rsid w:val="004964B1"/>
    <w:rsid w:val="004A09D6"/>
    <w:rsid w:val="004A430D"/>
    <w:rsid w:val="004A46FD"/>
    <w:rsid w:val="004A588F"/>
    <w:rsid w:val="004B1184"/>
    <w:rsid w:val="004B32C0"/>
    <w:rsid w:val="004B4B24"/>
    <w:rsid w:val="004B4EAB"/>
    <w:rsid w:val="004B5ECD"/>
    <w:rsid w:val="004C35DA"/>
    <w:rsid w:val="004C400B"/>
    <w:rsid w:val="004C4C4D"/>
    <w:rsid w:val="004C5219"/>
    <w:rsid w:val="004D26BD"/>
    <w:rsid w:val="004D278A"/>
    <w:rsid w:val="004D6175"/>
    <w:rsid w:val="004E01B8"/>
    <w:rsid w:val="004E05E2"/>
    <w:rsid w:val="004E1F7E"/>
    <w:rsid w:val="004E4B3A"/>
    <w:rsid w:val="004E6F1D"/>
    <w:rsid w:val="004E7298"/>
    <w:rsid w:val="004E7B50"/>
    <w:rsid w:val="004F5466"/>
    <w:rsid w:val="004F5533"/>
    <w:rsid w:val="005048F6"/>
    <w:rsid w:val="0050655C"/>
    <w:rsid w:val="0051000E"/>
    <w:rsid w:val="00512B59"/>
    <w:rsid w:val="00515B58"/>
    <w:rsid w:val="0051742A"/>
    <w:rsid w:val="00517CF7"/>
    <w:rsid w:val="00521ED5"/>
    <w:rsid w:val="00522740"/>
    <w:rsid w:val="00524079"/>
    <w:rsid w:val="00524678"/>
    <w:rsid w:val="00526D85"/>
    <w:rsid w:val="00527313"/>
    <w:rsid w:val="005329D0"/>
    <w:rsid w:val="00533BDC"/>
    <w:rsid w:val="005342C7"/>
    <w:rsid w:val="00536590"/>
    <w:rsid w:val="005408C0"/>
    <w:rsid w:val="0054432A"/>
    <w:rsid w:val="00554FE7"/>
    <w:rsid w:val="0055730A"/>
    <w:rsid w:val="005577AA"/>
    <w:rsid w:val="00565AD8"/>
    <w:rsid w:val="005667DA"/>
    <w:rsid w:val="0056756B"/>
    <w:rsid w:val="00571507"/>
    <w:rsid w:val="00572729"/>
    <w:rsid w:val="00572FD1"/>
    <w:rsid w:val="00573D31"/>
    <w:rsid w:val="00580C87"/>
    <w:rsid w:val="00581CD5"/>
    <w:rsid w:val="0058597A"/>
    <w:rsid w:val="00586AF9"/>
    <w:rsid w:val="00586B58"/>
    <w:rsid w:val="00592296"/>
    <w:rsid w:val="00593422"/>
    <w:rsid w:val="005943F7"/>
    <w:rsid w:val="00594543"/>
    <w:rsid w:val="005970CB"/>
    <w:rsid w:val="00597E81"/>
    <w:rsid w:val="005A487D"/>
    <w:rsid w:val="005B09B4"/>
    <w:rsid w:val="005B3F35"/>
    <w:rsid w:val="005B4EA9"/>
    <w:rsid w:val="005B7D8D"/>
    <w:rsid w:val="005C0651"/>
    <w:rsid w:val="005C0866"/>
    <w:rsid w:val="005C0E0D"/>
    <w:rsid w:val="005C2478"/>
    <w:rsid w:val="005C4EBB"/>
    <w:rsid w:val="005C507D"/>
    <w:rsid w:val="005C5628"/>
    <w:rsid w:val="005C756B"/>
    <w:rsid w:val="005E39C1"/>
    <w:rsid w:val="005E42A2"/>
    <w:rsid w:val="005E4BFA"/>
    <w:rsid w:val="005E5833"/>
    <w:rsid w:val="005E667D"/>
    <w:rsid w:val="005F1C08"/>
    <w:rsid w:val="005F1ECD"/>
    <w:rsid w:val="005F4046"/>
    <w:rsid w:val="005F739A"/>
    <w:rsid w:val="00602CF8"/>
    <w:rsid w:val="00613AAC"/>
    <w:rsid w:val="00614314"/>
    <w:rsid w:val="00616FDE"/>
    <w:rsid w:val="00617547"/>
    <w:rsid w:val="00620242"/>
    <w:rsid w:val="00620322"/>
    <w:rsid w:val="00625151"/>
    <w:rsid w:val="00625B35"/>
    <w:rsid w:val="00634F96"/>
    <w:rsid w:val="00641E80"/>
    <w:rsid w:val="00646DDC"/>
    <w:rsid w:val="00652F85"/>
    <w:rsid w:val="00653612"/>
    <w:rsid w:val="00654E72"/>
    <w:rsid w:val="006557B5"/>
    <w:rsid w:val="00657CE3"/>
    <w:rsid w:val="00664221"/>
    <w:rsid w:val="006646F3"/>
    <w:rsid w:val="00665675"/>
    <w:rsid w:val="00666B93"/>
    <w:rsid w:val="0067082B"/>
    <w:rsid w:val="0067522D"/>
    <w:rsid w:val="0067664D"/>
    <w:rsid w:val="006805B6"/>
    <w:rsid w:val="00683977"/>
    <w:rsid w:val="00685F01"/>
    <w:rsid w:val="0069085E"/>
    <w:rsid w:val="006915AE"/>
    <w:rsid w:val="00693B66"/>
    <w:rsid w:val="006958CA"/>
    <w:rsid w:val="00697F23"/>
    <w:rsid w:val="006B3331"/>
    <w:rsid w:val="006B4052"/>
    <w:rsid w:val="006C1B9B"/>
    <w:rsid w:val="006C1E69"/>
    <w:rsid w:val="006C2743"/>
    <w:rsid w:val="006C7D8A"/>
    <w:rsid w:val="006D01EB"/>
    <w:rsid w:val="006D2110"/>
    <w:rsid w:val="006D7F18"/>
    <w:rsid w:val="006E078A"/>
    <w:rsid w:val="006E0A5F"/>
    <w:rsid w:val="006E4441"/>
    <w:rsid w:val="006F0633"/>
    <w:rsid w:val="006F10D0"/>
    <w:rsid w:val="006F3AE5"/>
    <w:rsid w:val="0070050F"/>
    <w:rsid w:val="00700A6D"/>
    <w:rsid w:val="00700D1A"/>
    <w:rsid w:val="00700D8D"/>
    <w:rsid w:val="00704A88"/>
    <w:rsid w:val="0071060B"/>
    <w:rsid w:val="00711A44"/>
    <w:rsid w:val="00714CC8"/>
    <w:rsid w:val="0071741D"/>
    <w:rsid w:val="00721E05"/>
    <w:rsid w:val="00723B72"/>
    <w:rsid w:val="00726F1E"/>
    <w:rsid w:val="00730278"/>
    <w:rsid w:val="00730DC5"/>
    <w:rsid w:val="007332CC"/>
    <w:rsid w:val="007403A9"/>
    <w:rsid w:val="00740965"/>
    <w:rsid w:val="007440DC"/>
    <w:rsid w:val="00744623"/>
    <w:rsid w:val="00744B5A"/>
    <w:rsid w:val="007542ED"/>
    <w:rsid w:val="00756DC2"/>
    <w:rsid w:val="00756F1D"/>
    <w:rsid w:val="00760C80"/>
    <w:rsid w:val="0076198C"/>
    <w:rsid w:val="00766A3A"/>
    <w:rsid w:val="007676AA"/>
    <w:rsid w:val="00770CF5"/>
    <w:rsid w:val="00770D48"/>
    <w:rsid w:val="00772169"/>
    <w:rsid w:val="00780541"/>
    <w:rsid w:val="0078185B"/>
    <w:rsid w:val="0078388F"/>
    <w:rsid w:val="00784A64"/>
    <w:rsid w:val="00794B54"/>
    <w:rsid w:val="00797A57"/>
    <w:rsid w:val="007A3D74"/>
    <w:rsid w:val="007A4754"/>
    <w:rsid w:val="007A63D5"/>
    <w:rsid w:val="007A7947"/>
    <w:rsid w:val="007B0158"/>
    <w:rsid w:val="007B0902"/>
    <w:rsid w:val="007B0E49"/>
    <w:rsid w:val="007B25EC"/>
    <w:rsid w:val="007B3CBB"/>
    <w:rsid w:val="007B4C40"/>
    <w:rsid w:val="007B5EFF"/>
    <w:rsid w:val="007C03EA"/>
    <w:rsid w:val="007C20FF"/>
    <w:rsid w:val="007C76E8"/>
    <w:rsid w:val="007D3E7C"/>
    <w:rsid w:val="007D625B"/>
    <w:rsid w:val="007D781F"/>
    <w:rsid w:val="007D7EA2"/>
    <w:rsid w:val="007E4A23"/>
    <w:rsid w:val="007E79C2"/>
    <w:rsid w:val="007F0163"/>
    <w:rsid w:val="007F1386"/>
    <w:rsid w:val="007F47DF"/>
    <w:rsid w:val="007F4B26"/>
    <w:rsid w:val="007F58D2"/>
    <w:rsid w:val="008028FF"/>
    <w:rsid w:val="00804B85"/>
    <w:rsid w:val="00804BC6"/>
    <w:rsid w:val="00804D76"/>
    <w:rsid w:val="008057DD"/>
    <w:rsid w:val="00806C3E"/>
    <w:rsid w:val="00810005"/>
    <w:rsid w:val="00820296"/>
    <w:rsid w:val="00826F79"/>
    <w:rsid w:val="00827174"/>
    <w:rsid w:val="00831919"/>
    <w:rsid w:val="008340C2"/>
    <w:rsid w:val="008358CA"/>
    <w:rsid w:val="00836E9E"/>
    <w:rsid w:val="0084289F"/>
    <w:rsid w:val="00843333"/>
    <w:rsid w:val="008469DA"/>
    <w:rsid w:val="0084721C"/>
    <w:rsid w:val="008479AF"/>
    <w:rsid w:val="00850C5B"/>
    <w:rsid w:val="0086537F"/>
    <w:rsid w:val="00866351"/>
    <w:rsid w:val="00872E05"/>
    <w:rsid w:val="008755CB"/>
    <w:rsid w:val="00875E0F"/>
    <w:rsid w:val="00883B92"/>
    <w:rsid w:val="00885876"/>
    <w:rsid w:val="00885F34"/>
    <w:rsid w:val="008869A1"/>
    <w:rsid w:val="00891695"/>
    <w:rsid w:val="008923AA"/>
    <w:rsid w:val="00892BED"/>
    <w:rsid w:val="008978DE"/>
    <w:rsid w:val="008A50EC"/>
    <w:rsid w:val="008B210C"/>
    <w:rsid w:val="008B2CA6"/>
    <w:rsid w:val="008B4302"/>
    <w:rsid w:val="008B5B50"/>
    <w:rsid w:val="008B5EE0"/>
    <w:rsid w:val="008B5F90"/>
    <w:rsid w:val="008B6B1D"/>
    <w:rsid w:val="008B734B"/>
    <w:rsid w:val="008C22FF"/>
    <w:rsid w:val="008C3745"/>
    <w:rsid w:val="008C4FBD"/>
    <w:rsid w:val="008C5FAC"/>
    <w:rsid w:val="008C6283"/>
    <w:rsid w:val="008D76DC"/>
    <w:rsid w:val="008E0F4F"/>
    <w:rsid w:val="008E1766"/>
    <w:rsid w:val="008E1A9F"/>
    <w:rsid w:val="008E27FF"/>
    <w:rsid w:val="008E3506"/>
    <w:rsid w:val="008E5C19"/>
    <w:rsid w:val="008E69E8"/>
    <w:rsid w:val="008E75DD"/>
    <w:rsid w:val="008F48C4"/>
    <w:rsid w:val="008F59C8"/>
    <w:rsid w:val="008F668A"/>
    <w:rsid w:val="00900FD7"/>
    <w:rsid w:val="009016A2"/>
    <w:rsid w:val="00911642"/>
    <w:rsid w:val="00912534"/>
    <w:rsid w:val="00913D73"/>
    <w:rsid w:val="00913D94"/>
    <w:rsid w:val="00914D08"/>
    <w:rsid w:val="00920822"/>
    <w:rsid w:val="00921328"/>
    <w:rsid w:val="00921D05"/>
    <w:rsid w:val="00923829"/>
    <w:rsid w:val="0093007D"/>
    <w:rsid w:val="0093225A"/>
    <w:rsid w:val="00932C9E"/>
    <w:rsid w:val="00933520"/>
    <w:rsid w:val="00934C79"/>
    <w:rsid w:val="00940066"/>
    <w:rsid w:val="00940EDB"/>
    <w:rsid w:val="00941569"/>
    <w:rsid w:val="00943406"/>
    <w:rsid w:val="009439F8"/>
    <w:rsid w:val="00944055"/>
    <w:rsid w:val="009479B0"/>
    <w:rsid w:val="00950757"/>
    <w:rsid w:val="009539F9"/>
    <w:rsid w:val="00953B3B"/>
    <w:rsid w:val="00953BF8"/>
    <w:rsid w:val="00955543"/>
    <w:rsid w:val="009603E8"/>
    <w:rsid w:val="00962D00"/>
    <w:rsid w:val="00971C26"/>
    <w:rsid w:val="009724DD"/>
    <w:rsid w:val="00982AD2"/>
    <w:rsid w:val="00986DFC"/>
    <w:rsid w:val="00991FEF"/>
    <w:rsid w:val="009930A0"/>
    <w:rsid w:val="0099731B"/>
    <w:rsid w:val="009A3383"/>
    <w:rsid w:val="009A56BC"/>
    <w:rsid w:val="009B0AF0"/>
    <w:rsid w:val="009B26D6"/>
    <w:rsid w:val="009B2E1D"/>
    <w:rsid w:val="009B615F"/>
    <w:rsid w:val="009B6CA3"/>
    <w:rsid w:val="009B79E0"/>
    <w:rsid w:val="009C08A7"/>
    <w:rsid w:val="009C2D3C"/>
    <w:rsid w:val="009C3C03"/>
    <w:rsid w:val="009C537A"/>
    <w:rsid w:val="009D17C8"/>
    <w:rsid w:val="009E0CB7"/>
    <w:rsid w:val="009E179C"/>
    <w:rsid w:val="009E3E2C"/>
    <w:rsid w:val="009F137B"/>
    <w:rsid w:val="009F407F"/>
    <w:rsid w:val="00A058BC"/>
    <w:rsid w:val="00A10679"/>
    <w:rsid w:val="00A12C8C"/>
    <w:rsid w:val="00A1595D"/>
    <w:rsid w:val="00A2201B"/>
    <w:rsid w:val="00A2422C"/>
    <w:rsid w:val="00A253EE"/>
    <w:rsid w:val="00A35899"/>
    <w:rsid w:val="00A42C6C"/>
    <w:rsid w:val="00A4408E"/>
    <w:rsid w:val="00A45DF9"/>
    <w:rsid w:val="00A469F8"/>
    <w:rsid w:val="00A568A9"/>
    <w:rsid w:val="00A579A9"/>
    <w:rsid w:val="00A60DED"/>
    <w:rsid w:val="00A63127"/>
    <w:rsid w:val="00A64445"/>
    <w:rsid w:val="00A70DC2"/>
    <w:rsid w:val="00A7162F"/>
    <w:rsid w:val="00A72F3C"/>
    <w:rsid w:val="00A800B5"/>
    <w:rsid w:val="00A81067"/>
    <w:rsid w:val="00A9257C"/>
    <w:rsid w:val="00A940D4"/>
    <w:rsid w:val="00AA0610"/>
    <w:rsid w:val="00AA3FD6"/>
    <w:rsid w:val="00AA4ABF"/>
    <w:rsid w:val="00AA510D"/>
    <w:rsid w:val="00AA718F"/>
    <w:rsid w:val="00AA7207"/>
    <w:rsid w:val="00AB0AB4"/>
    <w:rsid w:val="00AB1C90"/>
    <w:rsid w:val="00AB286C"/>
    <w:rsid w:val="00AC0201"/>
    <w:rsid w:val="00AC0FAE"/>
    <w:rsid w:val="00AC1E6D"/>
    <w:rsid w:val="00AC269D"/>
    <w:rsid w:val="00AC64B4"/>
    <w:rsid w:val="00AC7F3E"/>
    <w:rsid w:val="00AD01A7"/>
    <w:rsid w:val="00AD1B43"/>
    <w:rsid w:val="00AD421A"/>
    <w:rsid w:val="00AD49C3"/>
    <w:rsid w:val="00AD5427"/>
    <w:rsid w:val="00AD5547"/>
    <w:rsid w:val="00AE3B2C"/>
    <w:rsid w:val="00AF02ED"/>
    <w:rsid w:val="00AF0D5D"/>
    <w:rsid w:val="00AF6A01"/>
    <w:rsid w:val="00B05FB3"/>
    <w:rsid w:val="00B06219"/>
    <w:rsid w:val="00B0712F"/>
    <w:rsid w:val="00B10BB6"/>
    <w:rsid w:val="00B11D1F"/>
    <w:rsid w:val="00B11ECB"/>
    <w:rsid w:val="00B175E9"/>
    <w:rsid w:val="00B21B42"/>
    <w:rsid w:val="00B3303A"/>
    <w:rsid w:val="00B34AE6"/>
    <w:rsid w:val="00B36D25"/>
    <w:rsid w:val="00B42EFA"/>
    <w:rsid w:val="00B467A0"/>
    <w:rsid w:val="00B46834"/>
    <w:rsid w:val="00B47196"/>
    <w:rsid w:val="00B47FEC"/>
    <w:rsid w:val="00B5006B"/>
    <w:rsid w:val="00B51443"/>
    <w:rsid w:val="00B53DBA"/>
    <w:rsid w:val="00B61E3A"/>
    <w:rsid w:val="00B62491"/>
    <w:rsid w:val="00B704ED"/>
    <w:rsid w:val="00B758DC"/>
    <w:rsid w:val="00B76850"/>
    <w:rsid w:val="00B778D6"/>
    <w:rsid w:val="00B82792"/>
    <w:rsid w:val="00B87B09"/>
    <w:rsid w:val="00B87B48"/>
    <w:rsid w:val="00B9180D"/>
    <w:rsid w:val="00B92AA2"/>
    <w:rsid w:val="00B955A0"/>
    <w:rsid w:val="00BA0F2E"/>
    <w:rsid w:val="00BA5853"/>
    <w:rsid w:val="00BA7985"/>
    <w:rsid w:val="00BB06C6"/>
    <w:rsid w:val="00BB18E6"/>
    <w:rsid w:val="00BB2E40"/>
    <w:rsid w:val="00BB3365"/>
    <w:rsid w:val="00BB343A"/>
    <w:rsid w:val="00BB61CC"/>
    <w:rsid w:val="00BB61D6"/>
    <w:rsid w:val="00BB6C0B"/>
    <w:rsid w:val="00BB79BA"/>
    <w:rsid w:val="00BC1233"/>
    <w:rsid w:val="00BC30CE"/>
    <w:rsid w:val="00BC7F0C"/>
    <w:rsid w:val="00BD2C28"/>
    <w:rsid w:val="00BD486D"/>
    <w:rsid w:val="00BD5B3C"/>
    <w:rsid w:val="00BD61E7"/>
    <w:rsid w:val="00BE609F"/>
    <w:rsid w:val="00BE61F8"/>
    <w:rsid w:val="00BE6E28"/>
    <w:rsid w:val="00BF369C"/>
    <w:rsid w:val="00BF55D4"/>
    <w:rsid w:val="00BF63B1"/>
    <w:rsid w:val="00BF64F5"/>
    <w:rsid w:val="00BF6A12"/>
    <w:rsid w:val="00BF7475"/>
    <w:rsid w:val="00BF76BD"/>
    <w:rsid w:val="00C00A85"/>
    <w:rsid w:val="00C00D4B"/>
    <w:rsid w:val="00C05227"/>
    <w:rsid w:val="00C100C3"/>
    <w:rsid w:val="00C1725D"/>
    <w:rsid w:val="00C261F6"/>
    <w:rsid w:val="00C26D14"/>
    <w:rsid w:val="00C30390"/>
    <w:rsid w:val="00C33E20"/>
    <w:rsid w:val="00C35252"/>
    <w:rsid w:val="00C36CEE"/>
    <w:rsid w:val="00C36F85"/>
    <w:rsid w:val="00C4028A"/>
    <w:rsid w:val="00C41EA6"/>
    <w:rsid w:val="00C42E80"/>
    <w:rsid w:val="00C54534"/>
    <w:rsid w:val="00C54D37"/>
    <w:rsid w:val="00C63378"/>
    <w:rsid w:val="00C64DE1"/>
    <w:rsid w:val="00C66921"/>
    <w:rsid w:val="00C67CEF"/>
    <w:rsid w:val="00C72413"/>
    <w:rsid w:val="00C72881"/>
    <w:rsid w:val="00C75FF1"/>
    <w:rsid w:val="00C8184D"/>
    <w:rsid w:val="00C82DCA"/>
    <w:rsid w:val="00C8646C"/>
    <w:rsid w:val="00C86B56"/>
    <w:rsid w:val="00C87C23"/>
    <w:rsid w:val="00C9544C"/>
    <w:rsid w:val="00CA0C0F"/>
    <w:rsid w:val="00CA27E3"/>
    <w:rsid w:val="00CA39D2"/>
    <w:rsid w:val="00CA3FAC"/>
    <w:rsid w:val="00CA79B4"/>
    <w:rsid w:val="00CB05A6"/>
    <w:rsid w:val="00CB1A74"/>
    <w:rsid w:val="00CB1F8C"/>
    <w:rsid w:val="00CB5459"/>
    <w:rsid w:val="00CC36E3"/>
    <w:rsid w:val="00CC3C9F"/>
    <w:rsid w:val="00CC4C49"/>
    <w:rsid w:val="00CD1B1E"/>
    <w:rsid w:val="00CD4B91"/>
    <w:rsid w:val="00CF7CEA"/>
    <w:rsid w:val="00D0221A"/>
    <w:rsid w:val="00D0603C"/>
    <w:rsid w:val="00D070CF"/>
    <w:rsid w:val="00D10966"/>
    <w:rsid w:val="00D11B5E"/>
    <w:rsid w:val="00D12BC8"/>
    <w:rsid w:val="00D1317D"/>
    <w:rsid w:val="00D1353D"/>
    <w:rsid w:val="00D17FD9"/>
    <w:rsid w:val="00D23205"/>
    <w:rsid w:val="00D25655"/>
    <w:rsid w:val="00D25781"/>
    <w:rsid w:val="00D2792E"/>
    <w:rsid w:val="00D31837"/>
    <w:rsid w:val="00D32A93"/>
    <w:rsid w:val="00D32AD9"/>
    <w:rsid w:val="00D32C48"/>
    <w:rsid w:val="00D32E6A"/>
    <w:rsid w:val="00D33CF6"/>
    <w:rsid w:val="00D34E40"/>
    <w:rsid w:val="00D43D1B"/>
    <w:rsid w:val="00D47309"/>
    <w:rsid w:val="00D53E5A"/>
    <w:rsid w:val="00D547F5"/>
    <w:rsid w:val="00D54F00"/>
    <w:rsid w:val="00D560E9"/>
    <w:rsid w:val="00D565D0"/>
    <w:rsid w:val="00D57751"/>
    <w:rsid w:val="00D650E5"/>
    <w:rsid w:val="00D67087"/>
    <w:rsid w:val="00D71C23"/>
    <w:rsid w:val="00D738DE"/>
    <w:rsid w:val="00D741DD"/>
    <w:rsid w:val="00D757E4"/>
    <w:rsid w:val="00D82CD9"/>
    <w:rsid w:val="00D831E7"/>
    <w:rsid w:val="00D8386C"/>
    <w:rsid w:val="00D84B9B"/>
    <w:rsid w:val="00D87D8B"/>
    <w:rsid w:val="00D9006E"/>
    <w:rsid w:val="00D90412"/>
    <w:rsid w:val="00D90C99"/>
    <w:rsid w:val="00D90E45"/>
    <w:rsid w:val="00D9530E"/>
    <w:rsid w:val="00DA168F"/>
    <w:rsid w:val="00DA1B14"/>
    <w:rsid w:val="00DB01E2"/>
    <w:rsid w:val="00DB4815"/>
    <w:rsid w:val="00DB4A70"/>
    <w:rsid w:val="00DB4B2C"/>
    <w:rsid w:val="00DB77CC"/>
    <w:rsid w:val="00DC1917"/>
    <w:rsid w:val="00DC29F7"/>
    <w:rsid w:val="00DC6991"/>
    <w:rsid w:val="00DD22CB"/>
    <w:rsid w:val="00DD40A9"/>
    <w:rsid w:val="00DE21DC"/>
    <w:rsid w:val="00DE4511"/>
    <w:rsid w:val="00DE6CAA"/>
    <w:rsid w:val="00DF02A8"/>
    <w:rsid w:val="00DF342F"/>
    <w:rsid w:val="00DF4D74"/>
    <w:rsid w:val="00DF5803"/>
    <w:rsid w:val="00DF65ED"/>
    <w:rsid w:val="00E01CA3"/>
    <w:rsid w:val="00E03539"/>
    <w:rsid w:val="00E10A4F"/>
    <w:rsid w:val="00E162F5"/>
    <w:rsid w:val="00E17EE3"/>
    <w:rsid w:val="00E220CA"/>
    <w:rsid w:val="00E227A6"/>
    <w:rsid w:val="00E23FED"/>
    <w:rsid w:val="00E24D98"/>
    <w:rsid w:val="00E337A7"/>
    <w:rsid w:val="00E41C3F"/>
    <w:rsid w:val="00E43E63"/>
    <w:rsid w:val="00E508DE"/>
    <w:rsid w:val="00E52B0F"/>
    <w:rsid w:val="00E540BA"/>
    <w:rsid w:val="00E543F0"/>
    <w:rsid w:val="00E54C12"/>
    <w:rsid w:val="00E5667D"/>
    <w:rsid w:val="00E566F6"/>
    <w:rsid w:val="00E57AFE"/>
    <w:rsid w:val="00E61AF1"/>
    <w:rsid w:val="00E62238"/>
    <w:rsid w:val="00E62702"/>
    <w:rsid w:val="00E64A51"/>
    <w:rsid w:val="00E64F70"/>
    <w:rsid w:val="00E65874"/>
    <w:rsid w:val="00E65A54"/>
    <w:rsid w:val="00E66FEF"/>
    <w:rsid w:val="00E675BB"/>
    <w:rsid w:val="00E73F2A"/>
    <w:rsid w:val="00E7770E"/>
    <w:rsid w:val="00E77F65"/>
    <w:rsid w:val="00E80513"/>
    <w:rsid w:val="00E80F24"/>
    <w:rsid w:val="00E82A01"/>
    <w:rsid w:val="00E87EC0"/>
    <w:rsid w:val="00E90F51"/>
    <w:rsid w:val="00E91FBE"/>
    <w:rsid w:val="00E94AB2"/>
    <w:rsid w:val="00E94D05"/>
    <w:rsid w:val="00E9691E"/>
    <w:rsid w:val="00E96C3F"/>
    <w:rsid w:val="00EA1F51"/>
    <w:rsid w:val="00EA4786"/>
    <w:rsid w:val="00EA5CD9"/>
    <w:rsid w:val="00EB05C8"/>
    <w:rsid w:val="00EB2E24"/>
    <w:rsid w:val="00EB35C3"/>
    <w:rsid w:val="00EB37CC"/>
    <w:rsid w:val="00EB4054"/>
    <w:rsid w:val="00EB4BD5"/>
    <w:rsid w:val="00EB4D10"/>
    <w:rsid w:val="00EB5BD1"/>
    <w:rsid w:val="00EC1189"/>
    <w:rsid w:val="00EC45BB"/>
    <w:rsid w:val="00EC7B6C"/>
    <w:rsid w:val="00ED2F1E"/>
    <w:rsid w:val="00ED364A"/>
    <w:rsid w:val="00ED36C6"/>
    <w:rsid w:val="00ED43B1"/>
    <w:rsid w:val="00ED5F3C"/>
    <w:rsid w:val="00ED624A"/>
    <w:rsid w:val="00EE18FD"/>
    <w:rsid w:val="00EF38AD"/>
    <w:rsid w:val="00EF54F1"/>
    <w:rsid w:val="00EF624C"/>
    <w:rsid w:val="00EF67DD"/>
    <w:rsid w:val="00F003BB"/>
    <w:rsid w:val="00F02097"/>
    <w:rsid w:val="00F03727"/>
    <w:rsid w:val="00F03B35"/>
    <w:rsid w:val="00F14BC9"/>
    <w:rsid w:val="00F176C6"/>
    <w:rsid w:val="00F2609E"/>
    <w:rsid w:val="00F35406"/>
    <w:rsid w:val="00F36524"/>
    <w:rsid w:val="00F40E9E"/>
    <w:rsid w:val="00F41214"/>
    <w:rsid w:val="00F41B5A"/>
    <w:rsid w:val="00F42487"/>
    <w:rsid w:val="00F42DA5"/>
    <w:rsid w:val="00F439F3"/>
    <w:rsid w:val="00F449CF"/>
    <w:rsid w:val="00F44FB0"/>
    <w:rsid w:val="00F46B41"/>
    <w:rsid w:val="00F47840"/>
    <w:rsid w:val="00F50963"/>
    <w:rsid w:val="00F50EA5"/>
    <w:rsid w:val="00F60CE5"/>
    <w:rsid w:val="00F60D17"/>
    <w:rsid w:val="00F646F0"/>
    <w:rsid w:val="00F65918"/>
    <w:rsid w:val="00F663B3"/>
    <w:rsid w:val="00F72A36"/>
    <w:rsid w:val="00F746BA"/>
    <w:rsid w:val="00F760EF"/>
    <w:rsid w:val="00F76821"/>
    <w:rsid w:val="00F80ABD"/>
    <w:rsid w:val="00F82353"/>
    <w:rsid w:val="00F82F0F"/>
    <w:rsid w:val="00F86001"/>
    <w:rsid w:val="00F93917"/>
    <w:rsid w:val="00F96E44"/>
    <w:rsid w:val="00FA0DBB"/>
    <w:rsid w:val="00FA326B"/>
    <w:rsid w:val="00FA68CA"/>
    <w:rsid w:val="00FA78A5"/>
    <w:rsid w:val="00FB50AA"/>
    <w:rsid w:val="00FB721B"/>
    <w:rsid w:val="00FB7E01"/>
    <w:rsid w:val="00FC2605"/>
    <w:rsid w:val="00FC4577"/>
    <w:rsid w:val="00FC575F"/>
    <w:rsid w:val="00FC6FCC"/>
    <w:rsid w:val="00FD17E4"/>
    <w:rsid w:val="00FD37CE"/>
    <w:rsid w:val="00FD6172"/>
    <w:rsid w:val="00FD68B2"/>
    <w:rsid w:val="00FE0D0A"/>
    <w:rsid w:val="00FE19F7"/>
    <w:rsid w:val="00FE1D34"/>
    <w:rsid w:val="00FE3E2B"/>
    <w:rsid w:val="00FE5E87"/>
    <w:rsid w:val="00FF1F6F"/>
    <w:rsid w:val="00FF2083"/>
    <w:rsid w:val="00FF3F7A"/>
    <w:rsid w:val="00FF47DC"/>
    <w:rsid w:val="00FF4C7E"/>
    <w:rsid w:val="00FF5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martTagType w:namespaceuri="urn:schemas-microsoft-com:office:smarttags" w:name="PersonName"/>
  <w:shapeDefaults>
    <o:shapedefaults v:ext="edit" spidmax="2162"/>
    <o:shapelayout v:ext="edit">
      <o:idmap v:ext="edit" data="1"/>
    </o:shapelayout>
  </w:shapeDefaults>
  <w:decimalSymbol w:val=","/>
  <w:listSeparator w:val=";"/>
  <w15:docId w15:val="{E067308B-358C-42E5-B0F2-45A2CB477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sz w:val="24"/>
      <w:szCs w:val="24"/>
    </w:rPr>
  </w:style>
  <w:style w:type="paragraph" w:styleId="Nadpis1">
    <w:name w:val="heading 1"/>
    <w:basedOn w:val="Normln"/>
    <w:next w:val="Normln"/>
    <w:qFormat/>
    <w:rsid w:val="0029057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aliases w:val="Nadpis 2 Char Char,Nadpis 2 Char Char Char Char Char,Nadpis 2 Char Char Char"/>
    <w:basedOn w:val="Normln"/>
    <w:next w:val="Normln"/>
    <w:qFormat/>
    <w:rsid w:val="0029057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aliases w:val="Titul1,Nadpis 3 velká písmena"/>
    <w:basedOn w:val="Normln"/>
    <w:next w:val="Normln"/>
    <w:qFormat/>
    <w:rsid w:val="00FF58B0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"/>
    <w:next w:val="Normln"/>
    <w:qFormat/>
    <w:rsid w:val="00290574"/>
    <w:pPr>
      <w:keepNext/>
      <w:overflowPunct w:val="0"/>
      <w:autoSpaceDE w:val="0"/>
      <w:autoSpaceDN w:val="0"/>
      <w:adjustRightInd w:val="0"/>
      <w:jc w:val="both"/>
      <w:textAlignment w:val="baseline"/>
      <w:outlineLvl w:val="3"/>
    </w:pPr>
    <w:rPr>
      <w:b/>
      <w:bCs/>
      <w:sz w:val="28"/>
      <w:szCs w:val="20"/>
    </w:rPr>
  </w:style>
  <w:style w:type="paragraph" w:styleId="Nadpis5">
    <w:name w:val="heading 5"/>
    <w:basedOn w:val="Normln"/>
    <w:next w:val="Normln"/>
    <w:qFormat/>
    <w:rsid w:val="00FF58B0"/>
    <w:pPr>
      <w:keepNext/>
      <w:overflowPunct w:val="0"/>
      <w:autoSpaceDE w:val="0"/>
      <w:autoSpaceDN w:val="0"/>
      <w:adjustRightInd w:val="0"/>
      <w:jc w:val="both"/>
      <w:textAlignment w:val="baseline"/>
      <w:outlineLvl w:val="4"/>
    </w:pPr>
    <w:rPr>
      <w:b/>
      <w:bCs/>
      <w:szCs w:val="20"/>
    </w:rPr>
  </w:style>
  <w:style w:type="paragraph" w:styleId="Nadpis6">
    <w:name w:val="heading 6"/>
    <w:basedOn w:val="Normln"/>
    <w:next w:val="Normln"/>
    <w:qFormat/>
    <w:rsid w:val="00FF58B0"/>
    <w:pPr>
      <w:keepNext/>
      <w:overflowPunct w:val="0"/>
      <w:autoSpaceDE w:val="0"/>
      <w:autoSpaceDN w:val="0"/>
      <w:adjustRightInd w:val="0"/>
      <w:ind w:left="851" w:hanging="709"/>
      <w:jc w:val="both"/>
      <w:textAlignment w:val="baseline"/>
      <w:outlineLvl w:val="5"/>
    </w:pPr>
    <w:rPr>
      <w:b/>
      <w:bCs/>
      <w:szCs w:val="20"/>
    </w:rPr>
  </w:style>
  <w:style w:type="paragraph" w:styleId="Nadpis7">
    <w:name w:val="heading 7"/>
    <w:basedOn w:val="Normln"/>
    <w:next w:val="Normln"/>
    <w:qFormat/>
    <w:rsid w:val="00FF58B0"/>
    <w:pPr>
      <w:keepNext/>
      <w:overflowPunct w:val="0"/>
      <w:autoSpaceDE w:val="0"/>
      <w:autoSpaceDN w:val="0"/>
      <w:adjustRightInd w:val="0"/>
      <w:jc w:val="both"/>
      <w:textAlignment w:val="baseline"/>
      <w:outlineLvl w:val="6"/>
    </w:pPr>
    <w:rPr>
      <w:sz w:val="28"/>
      <w:szCs w:val="20"/>
    </w:rPr>
  </w:style>
  <w:style w:type="paragraph" w:styleId="Nadpis8">
    <w:name w:val="heading 8"/>
    <w:basedOn w:val="Normln"/>
    <w:next w:val="Normln"/>
    <w:qFormat/>
    <w:rsid w:val="00FF58B0"/>
    <w:pPr>
      <w:keepNext/>
      <w:overflowPunct w:val="0"/>
      <w:autoSpaceDE w:val="0"/>
      <w:autoSpaceDN w:val="0"/>
      <w:adjustRightInd w:val="0"/>
      <w:ind w:firstLine="142"/>
      <w:jc w:val="both"/>
      <w:textAlignment w:val="baseline"/>
      <w:outlineLvl w:val="7"/>
    </w:pPr>
    <w:rPr>
      <w:sz w:val="28"/>
      <w:szCs w:val="20"/>
    </w:rPr>
  </w:style>
  <w:style w:type="paragraph" w:styleId="Nadpis9">
    <w:name w:val="heading 9"/>
    <w:basedOn w:val="Normln"/>
    <w:next w:val="Normln"/>
    <w:qFormat/>
    <w:rsid w:val="00FF58B0"/>
    <w:pPr>
      <w:keepNext/>
      <w:tabs>
        <w:tab w:val="left" w:pos="851"/>
      </w:tabs>
      <w:overflowPunct w:val="0"/>
      <w:autoSpaceDE w:val="0"/>
      <w:autoSpaceDN w:val="0"/>
      <w:adjustRightInd w:val="0"/>
      <w:ind w:firstLine="142"/>
      <w:jc w:val="both"/>
      <w:textAlignment w:val="baseline"/>
      <w:outlineLvl w:val="8"/>
    </w:pPr>
    <w:rPr>
      <w:b/>
      <w:bCs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Char">
    <w:name w:val="Char"/>
    <w:basedOn w:val="Normln"/>
    <w:rsid w:val="00290574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styleId="Zhlav">
    <w:name w:val="header"/>
    <w:basedOn w:val="Normln"/>
    <w:rsid w:val="003946BE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rsid w:val="003946B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uiPriority w:val="99"/>
    <w:rsid w:val="00290574"/>
    <w:rPr>
      <w:rFonts w:ascii="Arial" w:hAnsi="Arial" w:cs="Arial" w:hint="default"/>
      <w:b/>
      <w:bCs/>
      <w:color w:val="000000"/>
      <w:sz w:val="20"/>
      <w:szCs w:val="20"/>
      <w:u w:val="single"/>
    </w:rPr>
  </w:style>
  <w:style w:type="character" w:styleId="Zdraznn">
    <w:name w:val="Emphasis"/>
    <w:basedOn w:val="Standardnpsmoodstavce"/>
    <w:qFormat/>
    <w:rsid w:val="00290574"/>
    <w:rPr>
      <w:i/>
      <w:iCs/>
    </w:rPr>
  </w:style>
  <w:style w:type="paragraph" w:styleId="Obsah2">
    <w:name w:val="toc 2"/>
    <w:basedOn w:val="Normln"/>
    <w:next w:val="Normln"/>
    <w:uiPriority w:val="39"/>
    <w:rsid w:val="00290574"/>
    <w:pPr>
      <w:tabs>
        <w:tab w:val="right" w:leader="dot" w:pos="8504"/>
      </w:tabs>
      <w:overflowPunct w:val="0"/>
      <w:autoSpaceDE w:val="0"/>
      <w:autoSpaceDN w:val="0"/>
      <w:adjustRightInd w:val="0"/>
      <w:textAlignment w:val="baseline"/>
    </w:pPr>
    <w:rPr>
      <w:smallCaps/>
      <w:sz w:val="20"/>
      <w:szCs w:val="20"/>
    </w:rPr>
  </w:style>
  <w:style w:type="paragraph" w:styleId="Obsah1">
    <w:name w:val="toc 1"/>
    <w:basedOn w:val="Normln"/>
    <w:next w:val="Normln"/>
    <w:autoRedefine/>
    <w:uiPriority w:val="39"/>
    <w:rsid w:val="00290574"/>
    <w:pPr>
      <w:tabs>
        <w:tab w:val="right" w:leader="dot" w:pos="9344"/>
      </w:tabs>
      <w:spacing w:before="120" w:after="120"/>
    </w:pPr>
    <w:rPr>
      <w:b/>
      <w:caps/>
      <w:sz w:val="20"/>
      <w:szCs w:val="20"/>
    </w:rPr>
  </w:style>
  <w:style w:type="paragraph" w:styleId="Obsah3">
    <w:name w:val="toc 3"/>
    <w:basedOn w:val="Normln"/>
    <w:next w:val="Normln"/>
    <w:autoRedefine/>
    <w:semiHidden/>
    <w:rsid w:val="008B4302"/>
    <w:pPr>
      <w:tabs>
        <w:tab w:val="right" w:leader="dot" w:pos="9360"/>
      </w:tabs>
      <w:ind w:left="400"/>
    </w:pPr>
    <w:rPr>
      <w:i/>
      <w:sz w:val="20"/>
      <w:szCs w:val="20"/>
    </w:rPr>
  </w:style>
  <w:style w:type="paragraph" w:styleId="Zkladntext">
    <w:name w:val="Body Text"/>
    <w:basedOn w:val="Normln"/>
    <w:rsid w:val="00290574"/>
    <w:rPr>
      <w:sz w:val="36"/>
      <w:szCs w:val="20"/>
    </w:rPr>
  </w:style>
  <w:style w:type="paragraph" w:customStyle="1" w:styleId="Znaka1">
    <w:name w:val="Značka 1"/>
    <w:basedOn w:val="Normln"/>
    <w:rsid w:val="00290574"/>
    <w:pPr>
      <w:numPr>
        <w:numId w:val="1"/>
      </w:numPr>
      <w:spacing w:before="120"/>
      <w:jc w:val="both"/>
    </w:pPr>
    <w:rPr>
      <w:szCs w:val="20"/>
    </w:rPr>
  </w:style>
  <w:style w:type="paragraph" w:customStyle="1" w:styleId="dek">
    <w:name w:val="Řádek"/>
    <w:basedOn w:val="Normln"/>
    <w:rsid w:val="00290574"/>
    <w:pPr>
      <w:spacing w:before="40" w:after="40"/>
      <w:jc w:val="both"/>
    </w:pPr>
    <w:rPr>
      <w:szCs w:val="20"/>
    </w:rPr>
  </w:style>
  <w:style w:type="paragraph" w:customStyle="1" w:styleId="Zkltext">
    <w:name w:val="Zákl.text"/>
    <w:basedOn w:val="Normln"/>
    <w:rsid w:val="00290574"/>
    <w:pPr>
      <w:spacing w:before="40" w:after="40"/>
      <w:ind w:firstLine="680"/>
      <w:jc w:val="both"/>
    </w:pPr>
    <w:rPr>
      <w:szCs w:val="20"/>
    </w:rPr>
  </w:style>
  <w:style w:type="paragraph" w:styleId="Zkladntextodsazen3">
    <w:name w:val="Body Text Indent 3"/>
    <w:basedOn w:val="Normln"/>
    <w:rsid w:val="00BF6A12"/>
    <w:pPr>
      <w:spacing w:after="120"/>
      <w:ind w:left="283"/>
    </w:pPr>
    <w:rPr>
      <w:sz w:val="16"/>
      <w:szCs w:val="16"/>
    </w:rPr>
  </w:style>
  <w:style w:type="paragraph" w:customStyle="1" w:styleId="Tabulka">
    <w:name w:val="Tabulka"/>
    <w:basedOn w:val="dek"/>
    <w:rsid w:val="00BF6A12"/>
    <w:rPr>
      <w:i/>
    </w:rPr>
  </w:style>
  <w:style w:type="character" w:customStyle="1" w:styleId="aleskulhanek">
    <w:name w:val="ales.kulhanek"/>
    <w:basedOn w:val="Standardnpsmoodstavce"/>
    <w:semiHidden/>
    <w:rsid w:val="00BF6A12"/>
    <w:rPr>
      <w:rFonts w:ascii="Arial" w:hAnsi="Arial" w:cs="Arial"/>
      <w:color w:val="auto"/>
      <w:sz w:val="20"/>
      <w:szCs w:val="20"/>
    </w:rPr>
  </w:style>
  <w:style w:type="paragraph" w:customStyle="1" w:styleId="anglicky">
    <w:name w:val="anglicky"/>
    <w:basedOn w:val="Normln"/>
    <w:rsid w:val="00FF58B0"/>
    <w:pPr>
      <w:overflowPunct w:val="0"/>
      <w:autoSpaceDE w:val="0"/>
      <w:autoSpaceDN w:val="0"/>
      <w:adjustRightInd w:val="0"/>
      <w:jc w:val="both"/>
      <w:textAlignment w:val="baseline"/>
    </w:pPr>
    <w:rPr>
      <w:szCs w:val="20"/>
      <w:lang w:val="en-US"/>
    </w:rPr>
  </w:style>
  <w:style w:type="character" w:styleId="slostrnky">
    <w:name w:val="page number"/>
    <w:basedOn w:val="Standardnpsmoodstavce"/>
    <w:rsid w:val="00FF58B0"/>
  </w:style>
  <w:style w:type="paragraph" w:customStyle="1" w:styleId="nemnit">
    <w:name w:val="nemìnit"/>
    <w:rsid w:val="00FF58B0"/>
    <w:pPr>
      <w:overflowPunct w:val="0"/>
      <w:autoSpaceDE w:val="0"/>
      <w:autoSpaceDN w:val="0"/>
      <w:adjustRightInd w:val="0"/>
      <w:textAlignment w:val="baseline"/>
    </w:pPr>
    <w:rPr>
      <w:rFonts w:ascii="Arial" w:hAnsi="Arial"/>
      <w:noProof/>
      <w:sz w:val="24"/>
    </w:rPr>
  </w:style>
  <w:style w:type="paragraph" w:styleId="Zkladntext2">
    <w:name w:val="Body Text 2"/>
    <w:basedOn w:val="Normln"/>
    <w:rsid w:val="00FF58B0"/>
    <w:pPr>
      <w:overflowPunct w:val="0"/>
      <w:autoSpaceDE w:val="0"/>
      <w:autoSpaceDN w:val="0"/>
      <w:adjustRightInd w:val="0"/>
      <w:textAlignment w:val="baseline"/>
    </w:pPr>
    <w:rPr>
      <w:b/>
      <w:bCs/>
      <w:i/>
      <w:iCs/>
      <w:sz w:val="20"/>
      <w:szCs w:val="20"/>
      <w:lang w:val="de-DE"/>
    </w:rPr>
  </w:style>
  <w:style w:type="paragraph" w:styleId="Zkladntext3">
    <w:name w:val="Body Text 3"/>
    <w:basedOn w:val="Normln"/>
    <w:rsid w:val="00FF58B0"/>
    <w:pPr>
      <w:overflowPunct w:val="0"/>
      <w:autoSpaceDE w:val="0"/>
      <w:autoSpaceDN w:val="0"/>
      <w:adjustRightInd w:val="0"/>
      <w:jc w:val="both"/>
      <w:textAlignment w:val="baseline"/>
    </w:pPr>
    <w:rPr>
      <w:b/>
      <w:bCs/>
      <w:sz w:val="32"/>
      <w:szCs w:val="20"/>
    </w:rPr>
  </w:style>
  <w:style w:type="paragraph" w:styleId="Zkladntextodsazen">
    <w:name w:val="Body Text Indent"/>
    <w:basedOn w:val="Normln"/>
    <w:rsid w:val="00FF58B0"/>
    <w:pPr>
      <w:tabs>
        <w:tab w:val="left" w:pos="851"/>
      </w:tabs>
      <w:overflowPunct w:val="0"/>
      <w:autoSpaceDE w:val="0"/>
      <w:autoSpaceDN w:val="0"/>
      <w:adjustRightInd w:val="0"/>
      <w:spacing w:before="120"/>
      <w:ind w:firstLine="142"/>
      <w:jc w:val="both"/>
      <w:textAlignment w:val="baseline"/>
    </w:pPr>
    <w:rPr>
      <w:szCs w:val="20"/>
    </w:rPr>
  </w:style>
  <w:style w:type="paragraph" w:styleId="Zkladntextodsazen2">
    <w:name w:val="Body Text Indent 2"/>
    <w:basedOn w:val="Normln"/>
    <w:rsid w:val="00FF58B0"/>
    <w:pPr>
      <w:overflowPunct w:val="0"/>
      <w:autoSpaceDE w:val="0"/>
      <w:autoSpaceDN w:val="0"/>
      <w:adjustRightInd w:val="0"/>
      <w:ind w:left="709" w:hanging="425"/>
      <w:jc w:val="both"/>
      <w:textAlignment w:val="baseline"/>
    </w:pPr>
    <w:rPr>
      <w:szCs w:val="20"/>
    </w:rPr>
  </w:style>
  <w:style w:type="paragraph" w:customStyle="1" w:styleId="xl25">
    <w:name w:val="xl25"/>
    <w:basedOn w:val="Normln"/>
    <w:rsid w:val="00FF58B0"/>
    <w:pPr>
      <w:spacing w:before="100" w:beforeAutospacing="1" w:after="100" w:afterAutospacing="1"/>
    </w:pPr>
    <w:rPr>
      <w:rFonts w:ascii="Arial" w:hAnsi="Arial"/>
      <w:b/>
      <w:bCs/>
      <w:i/>
      <w:iCs/>
    </w:rPr>
  </w:style>
  <w:style w:type="paragraph" w:customStyle="1" w:styleId="xl26">
    <w:name w:val="xl26"/>
    <w:basedOn w:val="Normln"/>
    <w:rsid w:val="00FF58B0"/>
    <w:pPr>
      <w:spacing w:before="100" w:beforeAutospacing="1" w:after="100" w:afterAutospacing="1"/>
      <w:jc w:val="center"/>
    </w:pPr>
    <w:rPr>
      <w:rFonts w:ascii="Arial" w:hAnsi="Arial"/>
      <w:i/>
      <w:iCs/>
    </w:rPr>
  </w:style>
  <w:style w:type="paragraph" w:customStyle="1" w:styleId="xl27">
    <w:name w:val="xl27"/>
    <w:basedOn w:val="Normln"/>
    <w:rsid w:val="00FF58B0"/>
    <w:pPr>
      <w:spacing w:before="100" w:beforeAutospacing="1" w:after="100" w:afterAutospacing="1"/>
      <w:jc w:val="center"/>
    </w:pPr>
  </w:style>
  <w:style w:type="paragraph" w:customStyle="1" w:styleId="xl28">
    <w:name w:val="xl28"/>
    <w:basedOn w:val="Normln"/>
    <w:rsid w:val="00FF58B0"/>
    <w:pPr>
      <w:spacing w:before="100" w:beforeAutospacing="1" w:after="100" w:afterAutospacing="1"/>
    </w:pPr>
    <w:rPr>
      <w:rFonts w:ascii="Arial" w:hAnsi="Arial"/>
      <w:i/>
      <w:iCs/>
    </w:rPr>
  </w:style>
  <w:style w:type="paragraph" w:customStyle="1" w:styleId="xl29">
    <w:name w:val="xl29"/>
    <w:basedOn w:val="Normln"/>
    <w:rsid w:val="00FF58B0"/>
    <w:pPr>
      <w:spacing w:before="100" w:beforeAutospacing="1" w:after="100" w:afterAutospacing="1"/>
    </w:pPr>
    <w:rPr>
      <w:rFonts w:ascii="Arial" w:hAnsi="Arial"/>
      <w:b/>
      <w:bCs/>
    </w:rPr>
  </w:style>
  <w:style w:type="paragraph" w:customStyle="1" w:styleId="xl30">
    <w:name w:val="xl30"/>
    <w:basedOn w:val="Normln"/>
    <w:rsid w:val="00FF58B0"/>
    <w:pPr>
      <w:spacing w:before="100" w:beforeAutospacing="1" w:after="100" w:afterAutospacing="1"/>
    </w:pPr>
    <w:rPr>
      <w:rFonts w:ascii="Arial" w:hAnsi="Arial"/>
      <w:i/>
      <w:iCs/>
    </w:rPr>
  </w:style>
  <w:style w:type="paragraph" w:styleId="Nzev">
    <w:name w:val="Title"/>
    <w:basedOn w:val="Normln"/>
    <w:qFormat/>
    <w:rsid w:val="00FF58B0"/>
    <w:pPr>
      <w:jc w:val="center"/>
    </w:pPr>
    <w:rPr>
      <w:b/>
      <w:szCs w:val="20"/>
    </w:rPr>
  </w:style>
  <w:style w:type="paragraph" w:styleId="Textvbloku">
    <w:name w:val="Block Text"/>
    <w:basedOn w:val="Normln"/>
    <w:rsid w:val="00FF58B0"/>
    <w:pPr>
      <w:spacing w:before="120"/>
      <w:ind w:left="539" w:right="-19"/>
    </w:pPr>
    <w:rPr>
      <w:bCs/>
      <w:i/>
      <w:iCs/>
    </w:rPr>
  </w:style>
  <w:style w:type="character" w:styleId="Sledovanodkaz">
    <w:name w:val="FollowedHyperlink"/>
    <w:basedOn w:val="Standardnpsmoodstavce"/>
    <w:rsid w:val="00FF58B0"/>
    <w:rPr>
      <w:color w:val="800080"/>
      <w:u w:val="single"/>
    </w:rPr>
  </w:style>
  <w:style w:type="paragraph" w:customStyle="1" w:styleId="obrzek">
    <w:name w:val="obrázek"/>
    <w:basedOn w:val="Normln"/>
    <w:rsid w:val="00FF58B0"/>
    <w:rPr>
      <w:rFonts w:ascii="Arial" w:hAnsi="Arial"/>
      <w:szCs w:val="20"/>
    </w:rPr>
  </w:style>
  <w:style w:type="paragraph" w:customStyle="1" w:styleId="BodyTextIndent31">
    <w:name w:val="Body Text Indent 31"/>
    <w:basedOn w:val="Normln"/>
    <w:rsid w:val="00FF58B0"/>
    <w:pPr>
      <w:spacing w:before="120"/>
      <w:ind w:left="448" w:hanging="448"/>
    </w:pPr>
    <w:rPr>
      <w:szCs w:val="20"/>
    </w:rPr>
  </w:style>
  <w:style w:type="paragraph" w:customStyle="1" w:styleId="zprva">
    <w:name w:val="zpráva"/>
    <w:basedOn w:val="Normln"/>
    <w:rsid w:val="00FF58B0"/>
    <w:pPr>
      <w:widowControl w:val="0"/>
      <w:spacing w:line="380" w:lineRule="exact"/>
      <w:jc w:val="both"/>
    </w:pPr>
    <w:rPr>
      <w:szCs w:val="20"/>
    </w:rPr>
  </w:style>
  <w:style w:type="paragraph" w:styleId="Podtitul">
    <w:name w:val="Subtitle"/>
    <w:basedOn w:val="Normln"/>
    <w:qFormat/>
    <w:rsid w:val="00FF58B0"/>
    <w:pPr>
      <w:spacing w:after="60"/>
      <w:jc w:val="center"/>
    </w:pPr>
    <w:rPr>
      <w:szCs w:val="20"/>
    </w:rPr>
  </w:style>
  <w:style w:type="paragraph" w:customStyle="1" w:styleId="pomlcka">
    <w:name w:val="pomlcka"/>
    <w:basedOn w:val="Normln"/>
    <w:rsid w:val="00FF58B0"/>
    <w:pPr>
      <w:tabs>
        <w:tab w:val="num" w:pos="720"/>
      </w:tabs>
      <w:overflowPunct w:val="0"/>
      <w:autoSpaceDE w:val="0"/>
      <w:autoSpaceDN w:val="0"/>
      <w:adjustRightInd w:val="0"/>
      <w:ind w:left="1003" w:hanging="283"/>
      <w:jc w:val="both"/>
      <w:textAlignment w:val="baseline"/>
    </w:pPr>
    <w:rPr>
      <w:szCs w:val="20"/>
    </w:rPr>
  </w:style>
  <w:style w:type="paragraph" w:customStyle="1" w:styleId="aquatest">
    <w:name w:val="aquatest"/>
    <w:basedOn w:val="Normln"/>
    <w:rsid w:val="00FF58B0"/>
    <w:pPr>
      <w:overflowPunct w:val="0"/>
      <w:autoSpaceDE w:val="0"/>
      <w:autoSpaceDN w:val="0"/>
      <w:adjustRightInd w:val="0"/>
      <w:spacing w:after="120"/>
      <w:jc w:val="both"/>
      <w:textAlignment w:val="baseline"/>
    </w:pPr>
    <w:rPr>
      <w:szCs w:val="20"/>
    </w:rPr>
  </w:style>
  <w:style w:type="paragraph" w:customStyle="1" w:styleId="Znaka10">
    <w:name w:val="Značka1"/>
    <w:basedOn w:val="Text"/>
    <w:rsid w:val="00FF58B0"/>
    <w:pPr>
      <w:tabs>
        <w:tab w:val="num" w:pos="756"/>
      </w:tabs>
      <w:ind w:left="756" w:hanging="360"/>
    </w:pPr>
  </w:style>
  <w:style w:type="paragraph" w:customStyle="1" w:styleId="Text">
    <w:name w:val="Text"/>
    <w:basedOn w:val="Normln"/>
    <w:rsid w:val="00FF58B0"/>
    <w:pPr>
      <w:spacing w:before="120"/>
      <w:jc w:val="both"/>
    </w:pPr>
    <w:rPr>
      <w:szCs w:val="20"/>
    </w:rPr>
  </w:style>
  <w:style w:type="paragraph" w:customStyle="1" w:styleId="Znaka3">
    <w:name w:val="Značka3"/>
    <w:basedOn w:val="Text"/>
    <w:rsid w:val="00FF58B0"/>
    <w:pPr>
      <w:tabs>
        <w:tab w:val="num" w:pos="360"/>
      </w:tabs>
      <w:ind w:left="340" w:hanging="340"/>
    </w:pPr>
  </w:style>
  <w:style w:type="paragraph" w:customStyle="1" w:styleId="Znaka4">
    <w:name w:val="Značka4"/>
    <w:basedOn w:val="Text"/>
    <w:rsid w:val="00FF58B0"/>
    <w:pPr>
      <w:tabs>
        <w:tab w:val="num" w:pos="360"/>
      </w:tabs>
      <w:ind w:left="340" w:hanging="340"/>
    </w:pPr>
  </w:style>
  <w:style w:type="paragraph" w:customStyle="1" w:styleId="Seznam1">
    <w:name w:val="Seznam1"/>
    <w:basedOn w:val="Normln"/>
    <w:rsid w:val="00FF58B0"/>
    <w:pPr>
      <w:tabs>
        <w:tab w:val="num" w:pos="360"/>
        <w:tab w:val="left" w:pos="2410"/>
      </w:tabs>
      <w:spacing w:after="60"/>
      <w:ind w:left="340" w:hanging="340"/>
      <w:jc w:val="both"/>
    </w:pPr>
    <w:rPr>
      <w:szCs w:val="20"/>
    </w:rPr>
  </w:style>
  <w:style w:type="paragraph" w:customStyle="1" w:styleId="Seznam2">
    <w:name w:val="Seznam2"/>
    <w:basedOn w:val="Normln"/>
    <w:rsid w:val="00FF58B0"/>
    <w:pPr>
      <w:tabs>
        <w:tab w:val="num" w:pos="360"/>
        <w:tab w:val="left" w:pos="2410"/>
      </w:tabs>
      <w:spacing w:after="60"/>
      <w:ind w:left="340" w:hanging="340"/>
      <w:jc w:val="both"/>
    </w:pPr>
    <w:rPr>
      <w:szCs w:val="20"/>
    </w:rPr>
  </w:style>
  <w:style w:type="paragraph" w:customStyle="1" w:styleId="Seznamploh2">
    <w:name w:val="Seznam příloh 2"/>
    <w:basedOn w:val="Seznamploh1"/>
    <w:rsid w:val="00FF58B0"/>
    <w:pPr>
      <w:tabs>
        <w:tab w:val="clear" w:pos="1784"/>
        <w:tab w:val="left" w:pos="680"/>
      </w:tabs>
      <w:ind w:left="737" w:hanging="510"/>
    </w:pPr>
    <w:rPr>
      <w:b w:val="0"/>
    </w:rPr>
  </w:style>
  <w:style w:type="paragraph" w:customStyle="1" w:styleId="Seznamploh1">
    <w:name w:val="Seznam příloh 1"/>
    <w:basedOn w:val="Text"/>
    <w:rsid w:val="00FF58B0"/>
    <w:pPr>
      <w:tabs>
        <w:tab w:val="left" w:pos="340"/>
        <w:tab w:val="num" w:pos="1784"/>
        <w:tab w:val="left" w:pos="7088"/>
        <w:tab w:val="right" w:pos="9072"/>
      </w:tabs>
      <w:spacing w:before="60"/>
      <w:ind w:left="340" w:hanging="340"/>
      <w:jc w:val="left"/>
    </w:pPr>
    <w:rPr>
      <w:b/>
    </w:rPr>
  </w:style>
  <w:style w:type="paragraph" w:customStyle="1" w:styleId="Seznamploh3">
    <w:name w:val="Seznam příloh 3"/>
    <w:basedOn w:val="Seznamploh2"/>
    <w:rsid w:val="00FF58B0"/>
    <w:pPr>
      <w:tabs>
        <w:tab w:val="clear" w:pos="340"/>
        <w:tab w:val="clear" w:pos="680"/>
        <w:tab w:val="num" w:pos="360"/>
        <w:tab w:val="left" w:pos="1077"/>
        <w:tab w:val="num" w:pos="2160"/>
      </w:tabs>
      <w:ind w:left="1134" w:hanging="680"/>
    </w:pPr>
  </w:style>
  <w:style w:type="paragraph" w:customStyle="1" w:styleId="Seznamploh4">
    <w:name w:val="Seznam příloh 4"/>
    <w:basedOn w:val="Seznamploh3"/>
    <w:rsid w:val="00FF58B0"/>
    <w:pPr>
      <w:tabs>
        <w:tab w:val="clear" w:pos="1077"/>
        <w:tab w:val="left" w:pos="1531"/>
      </w:tabs>
      <w:ind w:left="1560" w:hanging="880"/>
    </w:pPr>
  </w:style>
  <w:style w:type="paragraph" w:customStyle="1" w:styleId="Seznamploh5">
    <w:name w:val="Seznam příloh 5"/>
    <w:basedOn w:val="Seznamploh4"/>
    <w:rsid w:val="00FF58B0"/>
    <w:pPr>
      <w:tabs>
        <w:tab w:val="clear" w:pos="1531"/>
        <w:tab w:val="left" w:pos="1899"/>
      </w:tabs>
      <w:ind w:left="1916" w:hanging="1009"/>
    </w:pPr>
  </w:style>
  <w:style w:type="paragraph" w:customStyle="1" w:styleId="Znaka30">
    <w:name w:val="Značka 3"/>
    <w:basedOn w:val="Text"/>
    <w:rsid w:val="00FF58B0"/>
    <w:pPr>
      <w:tabs>
        <w:tab w:val="num" w:pos="1040"/>
      </w:tabs>
      <w:spacing w:before="60"/>
      <w:ind w:left="1020" w:hanging="340"/>
      <w:jc w:val="left"/>
    </w:pPr>
  </w:style>
  <w:style w:type="paragraph" w:customStyle="1" w:styleId="Znaka40">
    <w:name w:val="Značka 4"/>
    <w:basedOn w:val="Text"/>
    <w:rsid w:val="00FF58B0"/>
    <w:pPr>
      <w:tabs>
        <w:tab w:val="num" w:pos="360"/>
      </w:tabs>
      <w:ind w:left="340" w:hanging="340"/>
    </w:pPr>
  </w:style>
  <w:style w:type="paragraph" w:customStyle="1" w:styleId="slovanseznam2">
    <w:name w:val="Číslovaný seznam2"/>
    <w:basedOn w:val="Text"/>
    <w:rsid w:val="00FF58B0"/>
    <w:pPr>
      <w:tabs>
        <w:tab w:val="num" w:pos="360"/>
      </w:tabs>
      <w:ind w:left="340" w:hanging="340"/>
    </w:pPr>
  </w:style>
  <w:style w:type="paragraph" w:customStyle="1" w:styleId="Znaka2">
    <w:name w:val="Značka 2"/>
    <w:basedOn w:val="Text"/>
    <w:rsid w:val="00FF58B0"/>
    <w:pPr>
      <w:tabs>
        <w:tab w:val="num" w:pos="720"/>
      </w:tabs>
      <w:ind w:left="720" w:hanging="360"/>
    </w:pPr>
  </w:style>
  <w:style w:type="paragraph" w:styleId="Normlnweb">
    <w:name w:val="Normal (Web)"/>
    <w:basedOn w:val="Normln"/>
    <w:rsid w:val="00FF58B0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Styl2">
    <w:name w:val="Styl2"/>
    <w:basedOn w:val="Nadpis2"/>
    <w:next w:val="Normln"/>
    <w:rsid w:val="00FF58B0"/>
    <w:pPr>
      <w:tabs>
        <w:tab w:val="num" w:pos="720"/>
      </w:tabs>
      <w:ind w:left="720" w:hanging="360"/>
    </w:pPr>
    <w:rPr>
      <w:rFonts w:ascii="Times New Roman" w:hAnsi="Times New Roman"/>
      <w:b w:val="0"/>
      <w:bCs w:val="0"/>
      <w:i w:val="0"/>
      <w:kern w:val="32"/>
    </w:rPr>
  </w:style>
  <w:style w:type="paragraph" w:customStyle="1" w:styleId="Strnkovn">
    <w:name w:val="Stránkování"/>
    <w:basedOn w:val="Normln"/>
    <w:rsid w:val="00FF58B0"/>
    <w:pPr>
      <w:spacing w:before="40" w:after="40"/>
      <w:jc w:val="center"/>
    </w:pPr>
    <w:rPr>
      <w:sz w:val="22"/>
      <w:szCs w:val="20"/>
      <w:lang w:eastAsia="en-US"/>
    </w:rPr>
  </w:style>
  <w:style w:type="paragraph" w:customStyle="1" w:styleId="Poslednzkladntext">
    <w:name w:val="Poslední základní text"/>
    <w:basedOn w:val="Normln"/>
    <w:rsid w:val="00FF58B0"/>
    <w:pPr>
      <w:keepNext/>
      <w:spacing w:after="120"/>
    </w:pPr>
    <w:rPr>
      <w:sz w:val="20"/>
      <w:szCs w:val="20"/>
      <w:lang w:eastAsia="en-US"/>
    </w:rPr>
  </w:style>
  <w:style w:type="table" w:styleId="Mkatabulky">
    <w:name w:val="Table Grid"/>
    <w:basedOn w:val="Normlntabulka"/>
    <w:rsid w:val="00FF58B0"/>
    <w:pPr>
      <w:overflowPunct w:val="0"/>
      <w:autoSpaceDE w:val="0"/>
      <w:autoSpaceDN w:val="0"/>
      <w:adjustRightInd w:val="0"/>
      <w:jc w:val="both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harChar">
    <w:name w:val="Char Char"/>
    <w:basedOn w:val="Standardnpsmoodstavce"/>
    <w:rsid w:val="00FF58B0"/>
    <w:rPr>
      <w:b/>
      <w:bCs/>
      <w:sz w:val="48"/>
      <w:lang w:val="cs-CZ" w:eastAsia="cs-CZ" w:bidi="ar-SA"/>
    </w:rPr>
  </w:style>
  <w:style w:type="paragraph" w:styleId="Prosttext">
    <w:name w:val="Plain Text"/>
    <w:basedOn w:val="Normln"/>
    <w:rsid w:val="00FF58B0"/>
    <w:rPr>
      <w:rFonts w:ascii="Courier New" w:hAnsi="Courier New" w:cs="Courier New"/>
      <w:sz w:val="20"/>
      <w:szCs w:val="20"/>
    </w:rPr>
  </w:style>
  <w:style w:type="paragraph" w:customStyle="1" w:styleId="Ploha">
    <w:name w:val="Příloha"/>
    <w:basedOn w:val="Normln"/>
    <w:next w:val="Normln"/>
    <w:rsid w:val="00FF58B0"/>
    <w:pPr>
      <w:keepLines/>
      <w:spacing w:before="40" w:after="40"/>
      <w:jc w:val="center"/>
    </w:pPr>
    <w:rPr>
      <w:b/>
      <w:caps/>
      <w:sz w:val="36"/>
      <w:szCs w:val="20"/>
      <w:lang w:eastAsia="en-US"/>
    </w:rPr>
  </w:style>
  <w:style w:type="paragraph" w:customStyle="1" w:styleId="Obrzek0">
    <w:name w:val="Obrázek"/>
    <w:basedOn w:val="Normln"/>
    <w:next w:val="Normln"/>
    <w:rsid w:val="00FF58B0"/>
    <w:pPr>
      <w:keepNext/>
      <w:spacing w:before="40" w:after="120"/>
    </w:pPr>
    <w:rPr>
      <w:szCs w:val="20"/>
      <w:lang w:eastAsia="en-US"/>
    </w:rPr>
  </w:style>
  <w:style w:type="paragraph" w:customStyle="1" w:styleId="Export0">
    <w:name w:val="Export 0"/>
    <w:rsid w:val="00FF58B0"/>
    <w:pPr>
      <w:tabs>
        <w:tab w:val="left" w:pos="54"/>
        <w:tab w:val="left" w:pos="774"/>
        <w:tab w:val="left" w:pos="1494"/>
        <w:tab w:val="left" w:pos="2214"/>
        <w:tab w:val="left" w:pos="2934"/>
        <w:tab w:val="left" w:pos="3654"/>
        <w:tab w:val="left" w:pos="4374"/>
        <w:tab w:val="left" w:pos="5094"/>
        <w:tab w:val="left" w:pos="5814"/>
        <w:tab w:val="left" w:pos="6534"/>
        <w:tab w:val="left" w:pos="7254"/>
        <w:tab w:val="left" w:pos="7974"/>
      </w:tabs>
    </w:pPr>
    <w:rPr>
      <w:sz w:val="28"/>
      <w:lang w:val="en-US"/>
    </w:rPr>
  </w:style>
  <w:style w:type="character" w:customStyle="1" w:styleId="platne1">
    <w:name w:val="platne1"/>
    <w:basedOn w:val="Standardnpsmoodstavce"/>
    <w:rsid w:val="00FF58B0"/>
  </w:style>
  <w:style w:type="paragraph" w:customStyle="1" w:styleId="StylTabulkaerven">
    <w:name w:val="Styl Tabulka + Červená"/>
    <w:basedOn w:val="Normln"/>
    <w:rsid w:val="00FF58B0"/>
    <w:pPr>
      <w:widowControl w:val="0"/>
      <w:tabs>
        <w:tab w:val="num" w:pos="0"/>
      </w:tabs>
      <w:spacing w:before="120" w:after="20"/>
    </w:pPr>
    <w:rPr>
      <w:color w:val="FF0000"/>
      <w:szCs w:val="20"/>
      <w:u w:val="single"/>
    </w:rPr>
  </w:style>
  <w:style w:type="paragraph" w:styleId="Seznamsodrkami">
    <w:name w:val="List Bullet"/>
    <w:basedOn w:val="Normln"/>
    <w:autoRedefine/>
    <w:rsid w:val="00FF58B0"/>
    <w:pPr>
      <w:tabs>
        <w:tab w:val="num" w:pos="360"/>
      </w:tabs>
      <w:spacing w:after="220" w:line="220" w:lineRule="atLeast"/>
      <w:ind w:left="360" w:hanging="360"/>
      <w:jc w:val="both"/>
    </w:pPr>
    <w:rPr>
      <w:rFonts w:ascii="Arial Narrow" w:hAnsi="Arial Narrow"/>
      <w:szCs w:val="20"/>
    </w:rPr>
  </w:style>
  <w:style w:type="paragraph" w:customStyle="1" w:styleId="BodyText21">
    <w:name w:val="Body Text 21"/>
    <w:basedOn w:val="Normln"/>
    <w:rsid w:val="00FF58B0"/>
    <w:pPr>
      <w:overflowPunct w:val="0"/>
      <w:autoSpaceDE w:val="0"/>
      <w:autoSpaceDN w:val="0"/>
      <w:adjustRightInd w:val="0"/>
      <w:spacing w:before="120" w:line="240" w:lineRule="atLeast"/>
      <w:ind w:firstLine="720"/>
      <w:textAlignment w:val="baseline"/>
    </w:pPr>
    <w:rPr>
      <w:szCs w:val="20"/>
    </w:rPr>
  </w:style>
  <w:style w:type="paragraph" w:customStyle="1" w:styleId="00text">
    <w:name w:val="00_text"/>
    <w:basedOn w:val="Normln"/>
    <w:rsid w:val="00B34AE6"/>
    <w:pPr>
      <w:tabs>
        <w:tab w:val="left" w:pos="9072"/>
      </w:tabs>
      <w:overflowPunct w:val="0"/>
      <w:autoSpaceDE w:val="0"/>
      <w:autoSpaceDN w:val="0"/>
      <w:adjustRightInd w:val="0"/>
      <w:spacing w:before="120"/>
      <w:ind w:left="567" w:right="567"/>
      <w:jc w:val="both"/>
      <w:textAlignment w:val="baseline"/>
    </w:pPr>
    <w:rPr>
      <w:rFonts w:ascii="Arial" w:hAnsi="Arial"/>
      <w:sz w:val="22"/>
      <w:szCs w:val="20"/>
    </w:rPr>
  </w:style>
  <w:style w:type="paragraph" w:styleId="FormtovanvHTML">
    <w:name w:val="HTML Preformatted"/>
    <w:basedOn w:val="Normln"/>
    <w:rsid w:val="005342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ZpatChar">
    <w:name w:val="Zápatí Char"/>
    <w:basedOn w:val="Standardnpsmoodstavce"/>
    <w:link w:val="Zpat"/>
    <w:rsid w:val="00620322"/>
    <w:rPr>
      <w:sz w:val="24"/>
      <w:szCs w:val="24"/>
      <w:lang w:val="cs-CZ" w:eastAsia="cs-CZ" w:bidi="ar-SA"/>
    </w:rPr>
  </w:style>
  <w:style w:type="paragraph" w:styleId="Textbubliny">
    <w:name w:val="Balloon Text"/>
    <w:basedOn w:val="Normln"/>
    <w:semiHidden/>
    <w:rsid w:val="008C6283"/>
    <w:rPr>
      <w:rFonts w:ascii="Tahoma" w:hAnsi="Tahoma" w:cs="Tahoma"/>
      <w:sz w:val="16"/>
      <w:szCs w:val="16"/>
    </w:rPr>
  </w:style>
  <w:style w:type="character" w:styleId="Siln">
    <w:name w:val="Strong"/>
    <w:basedOn w:val="Standardnpsmoodstavce"/>
    <w:qFormat/>
    <w:rsid w:val="00572FD1"/>
    <w:rPr>
      <w:b/>
      <w:bCs/>
    </w:rPr>
  </w:style>
  <w:style w:type="paragraph" w:customStyle="1" w:styleId="VP-KCP">
    <w:name w:val="VPÚ-KCP"/>
    <w:basedOn w:val="Normln"/>
    <w:rsid w:val="00FF47DC"/>
    <w:pPr>
      <w:jc w:val="both"/>
    </w:pPr>
    <w:rPr>
      <w:rFonts w:ascii="Arial" w:hAnsi="Arial"/>
      <w:sz w:val="20"/>
      <w:szCs w:val="20"/>
    </w:rPr>
  </w:style>
  <w:style w:type="paragraph" w:customStyle="1" w:styleId="Textpsmene">
    <w:name w:val="Text písmene"/>
    <w:basedOn w:val="Normln"/>
    <w:rsid w:val="00C8184D"/>
    <w:pPr>
      <w:numPr>
        <w:ilvl w:val="7"/>
        <w:numId w:val="1"/>
      </w:numPr>
      <w:suppressAutoHyphens/>
      <w:jc w:val="both"/>
      <w:outlineLvl w:val="7"/>
    </w:pPr>
    <w:rPr>
      <w:szCs w:val="20"/>
      <w:lang w:eastAsia="ar-SA"/>
    </w:rPr>
  </w:style>
  <w:style w:type="paragraph" w:styleId="Odstavecseseznamem">
    <w:name w:val="List Paragraph"/>
    <w:basedOn w:val="Normln"/>
    <w:qFormat/>
    <w:rsid w:val="00F50963"/>
    <w:pPr>
      <w:spacing w:after="240"/>
      <w:ind w:left="720"/>
      <w:jc w:val="both"/>
    </w:pPr>
    <w:rPr>
      <w:rFonts w:ascii="Arial" w:hAnsi="Arial"/>
      <w:sz w:val="20"/>
      <w:szCs w:val="20"/>
      <w:lang w:val="en-GB" w:eastAsia="en-US"/>
    </w:rPr>
  </w:style>
  <w:style w:type="character" w:styleId="Odkaznakoment">
    <w:name w:val="annotation reference"/>
    <w:basedOn w:val="Standardnpsmoodstavce"/>
    <w:semiHidden/>
    <w:rsid w:val="00F76821"/>
    <w:rPr>
      <w:sz w:val="16"/>
      <w:szCs w:val="16"/>
    </w:rPr>
  </w:style>
  <w:style w:type="paragraph" w:styleId="Textkomente">
    <w:name w:val="annotation text"/>
    <w:basedOn w:val="Normln"/>
    <w:semiHidden/>
    <w:rsid w:val="00F76821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F76821"/>
    <w:rPr>
      <w:b/>
      <w:bCs/>
    </w:rPr>
  </w:style>
  <w:style w:type="paragraph" w:customStyle="1" w:styleId="Char0">
    <w:name w:val="Char"/>
    <w:basedOn w:val="Normln"/>
    <w:rsid w:val="006805B6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Char1">
    <w:name w:val="Char"/>
    <w:basedOn w:val="Normln"/>
    <w:rsid w:val="00DB01E2"/>
    <w:pPr>
      <w:widowControl w:val="0"/>
      <w:adjustRightInd w:val="0"/>
      <w:spacing w:after="160" w:line="240" w:lineRule="exac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62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83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72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307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700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97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12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dekonta.cz" TargetMode="Externa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image" Target="media/image3.jp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2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hyperlink" Target="mailto:kupr@intar.cz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dekonta.c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1779</TotalTime>
  <Pages>15</Pages>
  <Words>4410</Words>
  <Characters>26025</Characters>
  <Application>Microsoft Office Word</Application>
  <DocSecurity>0</DocSecurity>
  <Lines>216</Lines>
  <Paragraphs>60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VIDIA-DESIGN s.r.o.</Company>
  <LinksUpToDate>false</LinksUpToDate>
  <CharactersWithSpaces>30375</CharactersWithSpaces>
  <SharedDoc>false</SharedDoc>
  <HLinks>
    <vt:vector size="48" baseType="variant">
      <vt:variant>
        <vt:i4>1507385</vt:i4>
      </vt:variant>
      <vt:variant>
        <vt:i4>35</vt:i4>
      </vt:variant>
      <vt:variant>
        <vt:i4>0</vt:i4>
      </vt:variant>
      <vt:variant>
        <vt:i4>5</vt:i4>
      </vt:variant>
      <vt:variant>
        <vt:lpwstr/>
      </vt:variant>
      <vt:variant>
        <vt:lpwstr>_Toc313890092</vt:lpwstr>
      </vt:variant>
      <vt:variant>
        <vt:i4>1507385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_Toc313890091</vt:lpwstr>
      </vt:variant>
      <vt:variant>
        <vt:i4>1507385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_Toc313890090</vt:lpwstr>
      </vt:variant>
      <vt:variant>
        <vt:i4>1441849</vt:i4>
      </vt:variant>
      <vt:variant>
        <vt:i4>17</vt:i4>
      </vt:variant>
      <vt:variant>
        <vt:i4>0</vt:i4>
      </vt:variant>
      <vt:variant>
        <vt:i4>5</vt:i4>
      </vt:variant>
      <vt:variant>
        <vt:lpwstr/>
      </vt:variant>
      <vt:variant>
        <vt:lpwstr>_Toc313890089</vt:lpwstr>
      </vt:variant>
      <vt:variant>
        <vt:i4>1441849</vt:i4>
      </vt:variant>
      <vt:variant>
        <vt:i4>11</vt:i4>
      </vt:variant>
      <vt:variant>
        <vt:i4>0</vt:i4>
      </vt:variant>
      <vt:variant>
        <vt:i4>5</vt:i4>
      </vt:variant>
      <vt:variant>
        <vt:lpwstr/>
      </vt:variant>
      <vt:variant>
        <vt:lpwstr>_Toc313890088</vt:lpwstr>
      </vt:variant>
      <vt:variant>
        <vt:i4>8192066</vt:i4>
      </vt:variant>
      <vt:variant>
        <vt:i4>6</vt:i4>
      </vt:variant>
      <vt:variant>
        <vt:i4>0</vt:i4>
      </vt:variant>
      <vt:variant>
        <vt:i4>5</vt:i4>
      </vt:variant>
      <vt:variant>
        <vt:lpwstr>mailto:kupr@obermeyer.cz</vt:lpwstr>
      </vt:variant>
      <vt:variant>
        <vt:lpwstr/>
      </vt:variant>
      <vt:variant>
        <vt:i4>4718592</vt:i4>
      </vt:variant>
      <vt:variant>
        <vt:i4>3</vt:i4>
      </vt:variant>
      <vt:variant>
        <vt:i4>0</vt:i4>
      </vt:variant>
      <vt:variant>
        <vt:i4>5</vt:i4>
      </vt:variant>
      <vt:variant>
        <vt:lpwstr>http://www.dekonta.c/</vt:lpwstr>
      </vt:variant>
      <vt:variant>
        <vt:lpwstr/>
      </vt:variant>
      <vt:variant>
        <vt:i4>458792</vt:i4>
      </vt:variant>
      <vt:variant>
        <vt:i4>0</vt:i4>
      </vt:variant>
      <vt:variant>
        <vt:i4>0</vt:i4>
      </vt:variant>
      <vt:variant>
        <vt:i4>5</vt:i4>
      </vt:variant>
      <vt:variant>
        <vt:lpwstr>mailto:info@dekonta.cz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VIDIA</dc:creator>
  <cp:lastModifiedBy>Dagmar Pilařová</cp:lastModifiedBy>
  <cp:revision>125</cp:revision>
  <cp:lastPrinted>2015-01-23T08:26:00Z</cp:lastPrinted>
  <dcterms:created xsi:type="dcterms:W3CDTF">2015-01-12T09:21:00Z</dcterms:created>
  <dcterms:modified xsi:type="dcterms:W3CDTF">2015-02-05T10:13:00Z</dcterms:modified>
</cp:coreProperties>
</file>